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240" w:after="120"/>
      </w:pPr>
      <w:r>
        <w:rPr>
          <w:b/>
          <w:bCs/>
        </w:rPr>
        <w:t xml:space="preserve">What is the change</w:t>
      </w:r>
    </w:p>
    <w:p>
      <w:r>
        <w:t xml:space="preserve">Change the second DHCP relay (helper) address on the 200V core switch, trinity200V-core (2 x ICX8200-24FX stack, RUCKUS ICX FastIron 10.0.10g), from 192.168.12.116 to 10.20.16.11 on all 22 VLAN interfaces (VEs) that relay DHCP for the new 200V subnets. The first helper, 10.20.16.10, is not changed.</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2527"/>
        <w:gridCol w:w="6499"/>
      </w:tblGrid>
      <w:tr>
        <w:trPr>
          <w:cantSplit/>
          <w:tblHeader/>
        </w:trPr>
        <w:tc>
          <w:tcPr>
            <w:tcW w:w="2527" w:type="dxa"/>
            <w:shd w:val="clear" w:color="auto" w:fill="D9D9D9"/>
          </w:tcPr>
          <w:p>
            <w:pPr>
              <w:spacing w:after="0" w:line="240" w:lineRule="auto"/>
            </w:pPr>
            <w:r>
              <w:rPr>
                <w:b/>
                <w:bCs/>
                <w:sz w:val="20"/>
                <w:szCs w:val="20"/>
              </w:rPr>
              <w:t xml:space="preserve">Item</w:t>
            </w:r>
          </w:p>
        </w:tc>
        <w:tc>
          <w:tcPr>
            <w:tcW w:w="6499" w:type="dxa"/>
            <w:shd w:val="clear" w:color="auto" w:fill="D9D9D9"/>
          </w:tcPr>
          <w:p>
            <w:pPr>
              <w:spacing w:after="0" w:line="240" w:lineRule="auto"/>
            </w:pPr>
            <w:r>
              <w:rPr>
                <w:b/>
                <w:bCs/>
                <w:sz w:val="20"/>
                <w:szCs w:val="20"/>
              </w:rPr>
              <w:t xml:space="preserve">Value</w:t>
            </w:r>
          </w:p>
        </w:tc>
      </w:tr>
      <w:tr>
        <w:trPr>
          <w:cantSplit/>
        </w:trPr>
        <w:tc>
          <w:tcPr>
            <w:tcW w:w="2527" w:type="dxa"/>
          </w:tcPr>
          <w:p>
            <w:pPr>
              <w:spacing w:after="0" w:line="240" w:lineRule="auto"/>
            </w:pPr>
            <w:r>
              <w:rPr>
                <w:sz w:val="20"/>
                <w:szCs w:val="20"/>
              </w:rPr>
              <w:t xml:space="preserve">Device</w:t>
            </w:r>
          </w:p>
        </w:tc>
        <w:tc>
          <w:tcPr>
            <w:tcW w:w="6499" w:type="dxa"/>
          </w:tcPr>
          <w:p>
            <w:pPr>
              <w:spacing w:after="0" w:line="240" w:lineRule="auto"/>
            </w:pPr>
            <w:r>
              <w:rPr>
                <w:sz w:val="20"/>
                <w:szCs w:val="20"/>
              </w:rPr>
              <w:t xml:space="preserve">trinity200V-core (management 10.20.8.2, ve 1960)</w:t>
            </w:r>
          </w:p>
        </w:tc>
      </w:tr>
      <w:tr>
        <w:trPr>
          <w:cantSplit/>
        </w:trPr>
        <w:tc>
          <w:tcPr>
            <w:tcW w:w="2527" w:type="dxa"/>
          </w:tcPr>
          <w:p>
            <w:pPr>
              <w:spacing w:after="0" w:line="240" w:lineRule="auto"/>
            </w:pPr>
            <w:r>
              <w:rPr>
                <w:sz w:val="20"/>
                <w:szCs w:val="20"/>
              </w:rPr>
              <w:t xml:space="preserve">Setting</w:t>
            </w:r>
          </w:p>
        </w:tc>
        <w:tc>
          <w:tcPr>
            <w:tcW w:w="6499" w:type="dxa"/>
          </w:tcPr>
          <w:p>
            <w:pPr>
              <w:spacing w:after="0" w:line="240" w:lineRule="auto"/>
            </w:pPr>
            <w:r>
              <w:rPr>
                <w:sz w:val="20"/>
                <w:szCs w:val="20"/>
              </w:rPr>
              <w:t xml:space="preserve">ip helper-address 2 on interface ve &lt;VLAN&gt;</w:t>
            </w:r>
          </w:p>
        </w:tc>
      </w:tr>
      <w:tr>
        <w:trPr>
          <w:cantSplit/>
        </w:trPr>
        <w:tc>
          <w:tcPr>
            <w:tcW w:w="2527" w:type="dxa"/>
          </w:tcPr>
          <w:p>
            <w:pPr>
              <w:spacing w:after="0" w:line="240" w:lineRule="auto"/>
            </w:pPr>
            <w:r>
              <w:rPr>
                <w:sz w:val="20"/>
                <w:szCs w:val="20"/>
              </w:rPr>
              <w:t xml:space="preserve">Current value</w:t>
            </w:r>
          </w:p>
        </w:tc>
        <w:tc>
          <w:tcPr>
            <w:tcW w:w="6499" w:type="dxa"/>
          </w:tcPr>
          <w:p>
            <w:pPr>
              <w:spacing w:after="0" w:line="240" w:lineRule="auto"/>
            </w:pPr>
            <w:r>
              <w:rPr>
                <w:sz w:val="20"/>
                <w:szCs w:val="20"/>
              </w:rPr>
              <w:t xml:space="preserve">192.168.12.116</w:t>
            </w:r>
          </w:p>
        </w:tc>
      </w:tr>
      <w:tr>
        <w:trPr>
          <w:cantSplit/>
        </w:trPr>
        <w:tc>
          <w:tcPr>
            <w:tcW w:w="2527" w:type="dxa"/>
          </w:tcPr>
          <w:p>
            <w:pPr>
              <w:spacing w:after="0" w:line="240" w:lineRule="auto"/>
            </w:pPr>
            <w:r>
              <w:rPr>
                <w:sz w:val="20"/>
                <w:szCs w:val="20"/>
              </w:rPr>
              <w:t xml:space="preserve">New value</w:t>
            </w:r>
          </w:p>
        </w:tc>
        <w:tc>
          <w:tcPr>
            <w:tcW w:w="6499" w:type="dxa"/>
          </w:tcPr>
          <w:p>
            <w:pPr>
              <w:spacing w:after="0" w:line="240" w:lineRule="auto"/>
            </w:pPr>
            <w:r>
              <w:rPr>
                <w:sz w:val="20"/>
                <w:szCs w:val="20"/>
              </w:rPr>
              <w:t xml:space="preserve">10.20.16.11</w:t>
            </w:r>
          </w:p>
        </w:tc>
      </w:tr>
      <w:tr>
        <w:trPr>
          <w:cantSplit/>
        </w:trPr>
        <w:tc>
          <w:tcPr>
            <w:tcW w:w="2527" w:type="dxa"/>
          </w:tcPr>
          <w:p>
            <w:pPr>
              <w:spacing w:after="0" w:line="240" w:lineRule="auto"/>
            </w:pPr>
            <w:r>
              <w:rPr>
                <w:sz w:val="20"/>
                <w:szCs w:val="20"/>
              </w:rPr>
              <w:t xml:space="preserve">Unchanged</w:t>
            </w:r>
          </w:p>
        </w:tc>
        <w:tc>
          <w:tcPr>
            <w:tcW w:w="6499" w:type="dxa"/>
          </w:tcPr>
          <w:p>
            <w:pPr>
              <w:spacing w:after="0" w:line="240" w:lineRule="auto"/>
            </w:pPr>
            <w:r>
              <w:rPr>
                <w:sz w:val="20"/>
                <w:szCs w:val="20"/>
              </w:rPr>
              <w:t xml:space="preserve">ip helper-address 1 10.20.16.10; VE addresses; ACLs; DHCP snooping; access switches</w:t>
            </w:r>
          </w:p>
        </w:tc>
      </w:tr>
      <w:tr>
        <w:trPr>
          <w:cantSplit/>
        </w:trPr>
        <w:tc>
          <w:tcPr>
            <w:tcW w:w="2527" w:type="dxa"/>
          </w:tcPr>
          <w:p>
            <w:pPr>
              <w:spacing w:after="0" w:line="240" w:lineRule="auto"/>
            </w:pPr>
            <w:r>
              <w:rPr>
                <w:sz w:val="20"/>
                <w:szCs w:val="20"/>
              </w:rPr>
              <w:t xml:space="preserve">Interfaces</w:t>
            </w:r>
          </w:p>
        </w:tc>
        <w:tc>
          <w:tcPr>
            <w:tcW w:w="6499" w:type="dxa"/>
          </w:tcPr>
          <w:p>
            <w:pPr>
              <w:spacing w:after="0" w:line="240" w:lineRule="auto"/>
            </w:pPr>
            <w:r>
              <w:rPr>
                <w:sz w:val="20"/>
                <w:szCs w:val="20"/>
              </w:rPr>
              <w:t xml:space="preserve">22 VEs: 2000, 2010, 2020, 2100, 2200, 2300, 2310, 2320, 2400, 2500, 2510, 2520, 2530, 2600, 2700, 2800, 2810, 2900, 2950, 2951, 2952, 2953 (Appendix A)</w:t>
            </w:r>
          </w:p>
        </w:tc>
      </w:tr>
      <w:tr>
        <w:trPr>
          <w:cantSplit/>
        </w:trPr>
        <w:tc>
          <w:tcPr>
            <w:tcW w:w="2527" w:type="dxa"/>
          </w:tcPr>
          <w:p>
            <w:pPr>
              <w:spacing w:after="0" w:line="240" w:lineRule="auto"/>
            </w:pPr>
            <w:r>
              <w:rPr>
                <w:sz w:val="20"/>
                <w:szCs w:val="20"/>
              </w:rPr>
              <w:t xml:space="preserve">Configuration file</w:t>
            </w:r>
          </w:p>
        </w:tc>
        <w:tc>
          <w:tcPr>
            <w:tcW w:w="6499" w:type="dxa"/>
          </w:tcPr>
          <w:p>
            <w:pPr>
              <w:spacing w:after="0" w:line="240" w:lineRule="auto"/>
            </w:pPr>
            <w:r>
              <w:rPr>
                <w:sz w:val="20"/>
                <w:szCs w:val="20"/>
              </w:rPr>
              <w:t xml:space="preserve">200V-core-dhcp-helper-ICX.txt (pre-check, change in two blocks, verify, rollback)</w:t>
            </w:r>
          </w:p>
        </w:tc>
      </w:tr>
    </w:tbl>
    <w:p>
      <w:pPr>
        <w:keepNext/>
        <w:spacing w:before="240" w:after="120"/>
      </w:pPr>
      <w:r>
        <w:rPr>
          <w:b/>
          <w:bCs/>
        </w:rPr>
        <w:t xml:space="preserve">Impact</w:t>
      </w:r>
    </w:p>
    <w:p>
      <w:pPr>
        <w:pStyle w:val="ListParagraph"/>
        <w:numPr>
          <w:ilvl w:val="0"/>
          <w:numId w:val="1"/>
        </w:numPr>
        <w:spacing w:after="60"/>
      </w:pPr>
      <w:r>
        <w:t xml:space="preserve">No outage expected. The core relays each DHCP request to both helpers; while the change is made, clients still get addresses from 10.20.16.10</w:t>
      </w:r>
    </w:p>
    <w:p>
      <w:pPr>
        <w:pStyle w:val="ListParagraph"/>
        <w:numPr>
          <w:ilvl w:val="0"/>
          <w:numId w:val="1"/>
        </w:numPr>
        <w:spacing w:after="60"/>
      </w:pPr>
      <w:r>
        <w:t xml:space="preserve">Devices that already have a lease keep their address. New and renewing clients use 10.20.16.11 as the second DHCP server from the moment each VE is changed</w:t>
      </w:r>
    </w:p>
    <w:p>
      <w:pPr>
        <w:pStyle w:val="ListParagraph"/>
        <w:numPr>
          <w:ilvl w:val="0"/>
          <w:numId w:val="1"/>
        </w:numPr>
        <w:spacing w:after="60"/>
      </w:pPr>
      <w:r>
        <w:t xml:space="preserve">No access switch, VLAN, IP address or ACL is changed</w:t>
      </w:r>
    </w:p>
    <w:p>
      <w:pPr>
        <w:keepNext/>
        <w:spacing w:before="240" w:after="120"/>
      </w:pPr>
      <w:r>
        <w:rPr>
          <w:b/>
          <w:bCs/>
        </w:rPr>
        <w:t xml:space="preserve">Duration of impact</w:t>
      </w:r>
    </w:p>
    <w:p>
      <w:r>
        <w:t xml:space="preserve">None expected. The change takes a few minutes to paste and verify; each VE is updated in under a second.</w:t>
      </w:r>
    </w:p>
    <w:p>
      <w:pPr>
        <w:keepNext/>
        <w:spacing w:before="240" w:after="120"/>
      </w:pPr>
      <w:r>
        <w:rPr>
          <w:b/>
          <w:bCs/>
        </w:rPr>
        <w:t xml:space="preserve">How Change implemented</w:t>
      </w:r>
    </w:p>
    <w:p>
      <w:r>
        <w:t xml:space="preserve">The change will be implemented by Alam Singh (Dycom) over SSH/telnet to trinity200V-core using 200V-core-dhcp-helper-ICX.txt. For each of the 22 VEs the old helper is removed and the new one added (no ip helper-address 2 192.168.12.116, then ip helper-address 2 10.20.16.11), pasted in two blocks of 11 VEs so a paste cannot be cut short. The configuration was checked against the running configuration of trinity200V-core taken on 12 October 2026: all 22 VEs have helper 2 set to 192.168.12.116 and are covered.</w:t>
      </w:r>
    </w:p>
    <w:p>
      <w:pPr>
        <w:keepNext/>
        <w:spacing w:before="240" w:after="120"/>
      </w:pPr>
      <w:r>
        <w:rPr>
          <w:b/>
          <w:bCs/>
        </w:rPr>
        <w:t xml:space="preserve">Implementation steps</w:t>
      </w:r>
    </w:p>
    <w:p>
      <w:pPr>
        <w:pStyle w:val="ListParagraph"/>
        <w:numPr>
          <w:ilvl w:val="0"/>
          <w:numId w:val="4"/>
        </w:numPr>
        <w:spacing w:after="60"/>
      </w:pPr>
      <w:r>
        <w:t xml:space="preserve">Pre-check: show running-config | include helper-address. Expect 44 lines: helper 1 10.20.16.10 and helper 2 192.168.12.116 on each of the 22 VEs.</w:t>
      </w:r>
    </w:p>
    <w:p>
      <w:pPr>
        <w:pStyle w:val="ListParagraph"/>
        <w:numPr>
          <w:ilvl w:val="0"/>
          <w:numId w:val="4"/>
        </w:numPr>
        <w:spacing w:after="60"/>
      </w:pPr>
      <w:r>
        <w:t xml:space="preserve">Paste change block 1 (VEs 2000 to 2510).</w:t>
      </w:r>
    </w:p>
    <w:p>
      <w:pPr>
        <w:pStyle w:val="ListParagraph"/>
        <w:numPr>
          <w:ilvl w:val="0"/>
          <w:numId w:val="4"/>
        </w:numPr>
        <w:spacing w:after="60"/>
      </w:pPr>
      <w:r>
        <w:t xml:space="preserve">Paste change block 2 (VEs 2520 to 2953).</w:t>
      </w:r>
    </w:p>
    <w:p>
      <w:pPr>
        <w:pStyle w:val="ListParagraph"/>
        <w:numPr>
          <w:ilvl w:val="0"/>
          <w:numId w:val="4"/>
        </w:numPr>
        <w:spacing w:after="60"/>
      </w:pPr>
      <w:r>
        <w:t xml:space="preserve">Verify: show running-config | include helper-address 2. Expect 22 lines, all 10.20.16.11.</w:t>
      </w:r>
    </w:p>
    <w:p>
      <w:pPr>
        <w:pStyle w:val="ListParagraph"/>
        <w:numPr>
          <w:ilvl w:val="0"/>
          <w:numId w:val="4"/>
        </w:numPr>
        <w:spacing w:after="60"/>
      </w:pPr>
      <w:r>
        <w:t xml:space="preserve">Save: write memory.</w:t>
      </w:r>
    </w:p>
    <w:p>
      <w:pPr>
        <w:pStyle w:val="ListParagraph"/>
        <w:numPr>
          <w:ilvl w:val="0"/>
          <w:numId w:val="4"/>
        </w:numPr>
        <w:spacing w:after="60"/>
      </w:pPr>
      <w:r>
        <w:t xml:space="preserve">Test: renew DHCP on a test client in at least two VLANs (for example staff wired 2100 and Wi-Fi 2300) and confirm it gets an address on the right subnet.</w:t>
      </w:r>
    </w:p>
    <w:p>
      <w:pPr>
        <w:keepNext/>
        <w:spacing w:before="240" w:after="120"/>
      </w:pPr>
      <w:r>
        <w:rPr>
          <w:b/>
          <w:bCs/>
        </w:rPr>
        <w:t xml:space="preserve">Prerequisites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7026"/>
        <w:gridCol w:w="2000"/>
      </w:tblGrid>
      <w:tr>
        <w:trPr>
          <w:cantSplit/>
          <w:tblHeader/>
        </w:trPr>
        <w:tc>
          <w:tcPr>
            <w:tcW w:w="7026" w:type="dxa"/>
            <w:shd w:val="clear" w:color="auto" w:fill="D9D9D9"/>
          </w:tcPr>
          <w:p>
            <w:pPr>
              <w:spacing w:after="0" w:line="240" w:lineRule="auto"/>
            </w:pPr>
            <w:r>
              <w:rPr>
                <w:b/>
                <w:bCs/>
                <w:sz w:val="20"/>
                <w:szCs w:val="20"/>
              </w:rPr>
              <w:t xml:space="preserve">Prerequisite</w:t>
            </w:r>
          </w:p>
        </w:tc>
        <w:tc>
          <w:tcPr>
            <w:tcW w:w="2000" w:type="dxa"/>
            <w:shd w:val="clear" w:color="auto" w:fill="D9D9D9"/>
          </w:tcPr>
          <w:p>
            <w:pPr>
              <w:spacing w:after="0" w:line="240" w:lineRule="auto"/>
            </w:pPr>
            <w:r>
              <w:rPr>
                <w:b/>
                <w:bCs/>
                <w:sz w:val="20"/>
                <w:szCs w:val="20"/>
              </w:rPr>
              <w:t xml:space="preserve">Status</w:t>
            </w:r>
          </w:p>
        </w:tc>
      </w:tr>
      <w:tr>
        <w:trPr>
          <w:cantSplit/>
        </w:trPr>
        <w:tc>
          <w:tcPr>
            <w:tcW w:w="7026" w:type="dxa"/>
          </w:tcPr>
          <w:p>
            <w:pPr>
              <w:spacing w:after="0" w:line="240" w:lineRule="auto"/>
            </w:pPr>
            <w:r>
              <w:rPr>
                <w:sz w:val="20"/>
                <w:szCs w:val="20"/>
              </w:rPr>
              <w:t xml:space="preserve">DHCP server 10.20.16.11 has scopes for every subnet in Appendix A, with the same options and reservations as 192.168.12.116</w:t>
            </w:r>
          </w:p>
        </w:tc>
        <w:tc>
          <w:tcPr>
            <w:tcW w:w="2000" w:type="dxa"/>
          </w:tcPr>
          <w:p>
            <w:pPr>
              <w:spacing w:after="0" w:line="240" w:lineRule="auto"/>
            </w:pPr>
            <w:r>
              <w:rPr>
                <w:sz w:val="20"/>
                <w:szCs w:val="20"/>
              </w:rPr>
              <w:t xml:space="preserve">Pending</w:t>
            </w:r>
          </w:p>
        </w:tc>
      </w:tr>
      <w:tr>
        <w:trPr>
          <w:cantSplit/>
        </w:trPr>
        <w:tc>
          <w:tcPr>
            <w:tcW w:w="7026" w:type="dxa"/>
          </w:tcPr>
          <w:p>
            <w:pPr>
              <w:spacing w:after="0" w:line="240" w:lineRule="auto"/>
            </w:pPr>
            <w:r>
              <w:rPr>
                <w:sz w:val="20"/>
                <w:szCs w:val="20"/>
              </w:rPr>
              <w:t xml:space="preserve">10.20.16.11 is reachable from trinity200V-core (ping 10.20.16.11)</w:t>
            </w:r>
          </w:p>
        </w:tc>
        <w:tc>
          <w:tcPr>
            <w:tcW w:w="2000" w:type="dxa"/>
          </w:tcPr>
          <w:p>
            <w:pPr>
              <w:spacing w:after="0" w:line="240" w:lineRule="auto"/>
            </w:pPr>
            <w:r>
              <w:rPr>
                <w:sz w:val="20"/>
                <w:szCs w:val="20"/>
              </w:rPr>
              <w:t xml:space="preserve">Pending</w:t>
            </w:r>
          </w:p>
        </w:tc>
      </w:tr>
      <w:tr>
        <w:trPr>
          <w:cantSplit/>
        </w:trPr>
        <w:tc>
          <w:tcPr>
            <w:tcW w:w="7026" w:type="dxa"/>
          </w:tcPr>
          <w:p>
            <w:pPr>
              <w:spacing w:after="0" w:line="240" w:lineRule="auto"/>
            </w:pPr>
            <w:r>
              <w:rPr>
                <w:sz w:val="20"/>
                <w:szCs w:val="20"/>
              </w:rPr>
              <w:t xml:space="preserve">Current running configuration of trinity200V-core backed up (12 October 2026)</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Change approved</w:t>
            </w:r>
          </w:p>
        </w:tc>
        <w:tc>
          <w:tcPr>
            <w:tcW w:w="2000" w:type="dxa"/>
          </w:tcPr>
          <w:p>
            <w:pPr>
              <w:spacing w:after="0" w:line="240" w:lineRule="auto"/>
            </w:pPr>
            <w:r>
              <w:rPr>
                <w:sz w:val="20"/>
                <w:szCs w:val="20"/>
              </w:rPr>
              <w:t xml:space="preserve">Pending</w:t>
            </w:r>
          </w:p>
        </w:tc>
      </w:tr>
    </w:tbl>
    <w:p>
      <w:pPr>
        <w:keepNext/>
        <w:spacing w:before="240" w:after="120"/>
      </w:pPr>
      <w:r>
        <w:rPr>
          <w:b/>
          <w:bCs/>
        </w:rPr>
        <w:t xml:space="preserve">How rollback implemented</w:t>
      </w:r>
    </w:p>
    <w:p>
      <w:r>
        <w:t xml:space="preserve">Paste the two ROLLBACK blocks from 200V-core-dhcp-helper-ICX.txt, which put helper 2 back to 192.168.12.116 on all 22 VEs, then write memory. Rollback takes a few minutes and has no impact.</w:t>
      </w:r>
    </w:p>
    <w:p>
      <w:pPr>
        <w:keepNext/>
        <w:spacing w:before="240" w:after="120"/>
      </w:pPr>
      <w:r>
        <w:rPr>
          <w:b/>
          <w:bCs/>
        </w:rPr>
        <w:t xml:space="preserve">Roll back if</w:t>
      </w:r>
    </w:p>
    <w:p>
      <w:pPr>
        <w:pStyle w:val="ListParagraph"/>
        <w:numPr>
          <w:ilvl w:val="0"/>
          <w:numId w:val="1"/>
        </w:numPr>
        <w:spacing w:after="60"/>
      </w:pPr>
      <w:r>
        <w:t xml:space="preserve">test clients do not get an address after the change</w:t>
      </w:r>
    </w:p>
    <w:p>
      <w:pPr>
        <w:pStyle w:val="ListParagraph"/>
        <w:numPr>
          <w:ilvl w:val="0"/>
          <w:numId w:val="1"/>
        </w:numPr>
        <w:spacing w:after="60"/>
      </w:pPr>
      <w:r>
        <w:t xml:space="preserve">the DHCP server team reports 10.20.16.11 is not answering relayed requests</w:t>
      </w:r>
    </w:p>
    <w:p>
      <w:pPr>
        <w:pStyle w:val="ListParagraph"/>
        <w:numPr>
          <w:ilvl w:val="0"/>
          <w:numId w:val="1"/>
        </w:numPr>
        <w:spacing w:after="60"/>
      </w:pPr>
      <w:r>
        <w:t xml:space="preserve">Trinity asks for a rollback</w:t>
      </w:r>
    </w:p>
    <w:p>
      <w:pPr>
        <w:keepNext/>
        <w:spacing w:before="240" w:after="120"/>
      </w:pPr>
      <w:r>
        <w:rPr>
          <w:b/>
          <w:bCs/>
        </w:rPr>
        <w:t xml:space="preserve">How change tested</w:t>
      </w:r>
    </w:p>
    <w:p>
      <w:pPr>
        <w:pStyle w:val="ListParagraph"/>
        <w:numPr>
          <w:ilvl w:val="0"/>
          <w:numId w:val="1"/>
        </w:numPr>
        <w:spacing w:after="60"/>
      </w:pPr>
      <w:r>
        <w:t xml:space="preserve">show running-config | include helper-address 2 shows 22 lines, all 10.20.16.11</w:t>
      </w:r>
    </w:p>
    <w:p>
      <w:pPr>
        <w:pStyle w:val="ListParagraph"/>
        <w:numPr>
          <w:ilvl w:val="0"/>
          <w:numId w:val="1"/>
        </w:numPr>
        <w:spacing w:after="60"/>
      </w:pPr>
      <w:r>
        <w:t xml:space="preserve">A test client on staff wired (2100) and on Wi-Fi (2300) gets an address on its subnet after a DHCP renew</w:t>
      </w:r>
    </w:p>
    <w:p>
      <w:pPr>
        <w:pStyle w:val="ListParagraph"/>
        <w:numPr>
          <w:ilvl w:val="0"/>
          <w:numId w:val="1"/>
        </w:numPr>
        <w:spacing w:after="60"/>
      </w:pPr>
      <w:r>
        <w:t xml:space="preserve">The DHCP server logs on 10.20.16.11 show relayed requests from the 200V gateways (10.21.x.1)</w:t>
      </w:r>
    </w:p>
    <w:p>
      <w:pPr>
        <w:keepNext/>
        <w:spacing w:before="240" w:after="120"/>
      </w:pPr>
      <w:r>
        <w:rPr>
          <w:b/>
          <w:bCs/>
        </w:rPr>
        <w:t xml:space="preserve">Risks of implementing</w:t>
      </w:r>
    </w:p>
    <w:p>
      <w:pPr>
        <w:pStyle w:val="ListParagraph"/>
        <w:numPr>
          <w:ilvl w:val="0"/>
          <w:numId w:val="5"/>
        </w:numPr>
        <w:spacing w:after="60"/>
      </w:pPr>
      <w:r>
        <w:t xml:space="preserve">If 10.20.16.11 is missing a scope or reservation, then clients on that subnet that are served by it get no address or the wrong one. This has low likelihood if the scopes are checked first (prerequisite). If this risk occurs, roll back.</w:t>
      </w:r>
    </w:p>
    <w:p>
      <w:pPr>
        <w:pStyle w:val="ListParagraph"/>
        <w:numPr>
          <w:ilvl w:val="0"/>
          <w:numId w:val="5"/>
        </w:numPr>
        <w:spacing w:after="60"/>
      </w:pPr>
      <w:r>
        <w:t xml:space="preserve">If a paste is cut short, then some VEs keep the old helper or have no second helper. This has low likelihood because the change is pasted in two short blocks and verified. If this risk occurs, the missing lines are pasted again.</w:t>
      </w:r>
    </w:p>
    <w:p>
      <w:pPr>
        <w:pStyle w:val="ListParagraph"/>
        <w:numPr>
          <w:ilvl w:val="0"/>
          <w:numId w:val="5"/>
        </w:numPr>
        <w:spacing w:after="60"/>
      </w:pPr>
      <w:r>
        <w:t xml:space="preserve">Unicast DHCP renewals go straight from the client to the server and pass the VLAN ACLs on the core. AV-IN, WIFIMGMT-IN, PRINTERS-IN, RESTRICTED-GROUP-IN, GUEST-IN and SERVERS-IN permit 192.168.12.0/24 or deny other 10.0.0.0/8 addresses, but do not permit 10.20.16.11. Clients on those VLANs keep their address and renew by broadcast through the relay instead. This is low impact; if direct renewals are wanted, a follow-up change can permit UDP 67 to 10.20.16.10 and 10.20.16.11 in those ACLs.</w:t>
      </w:r>
    </w:p>
    <w:p>
      <w:pPr>
        <w:keepNext/>
        <w:spacing w:before="240" w:after="120"/>
      </w:pPr>
      <w:r>
        <w:rPr>
          <w:b/>
          <w:bCs/>
        </w:rPr>
        <w:t xml:space="preserve">Suggested Scheduling</w:t>
      </w:r>
    </w:p>
    <w:p>
      <w:r>
        <w:t xml:space="preserve">Any time; no outage is expected. Prefer business hours so the DHCP server team can confirm relayed requests reach 10.20.16.11.</w:t>
      </w:r>
    </w:p>
    <w:p>
      <w:r>
        <w:br w:type="page"/>
      </w:r>
    </w:p>
    <w:p>
      <w:pPr>
        <w:keepNext/>
        <w:spacing w:before="240" w:after="120"/>
      </w:pPr>
      <w:r>
        <w:rPr>
          <w:b/>
          <w:bCs/>
        </w:rPr>
        <w:t xml:space="preserve">Appendix A – VLAN interfaces</w:t>
      </w:r>
    </w:p>
    <w:p>
      <w:r>
        <w:t xml:space="preserve">All 22 VEs on trinity200V-core that relay DHCP. Helper 1 stays 10.20.16.10; helper 2 changes as below.</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1083"/>
        <w:gridCol w:w="2707"/>
        <w:gridCol w:w="1805"/>
        <w:gridCol w:w="1714"/>
        <w:gridCol w:w="1717"/>
      </w:tblGrid>
      <w:tr>
        <w:trPr>
          <w:cantSplit/>
          <w:tblHeader/>
        </w:trPr>
        <w:tc>
          <w:tcPr>
            <w:tcW w:w="1083" w:type="dxa"/>
            <w:shd w:val="clear" w:color="auto" w:fill="D9D9D9"/>
          </w:tcPr>
          <w:p>
            <w:pPr>
              <w:spacing w:after="0" w:line="240" w:lineRule="auto"/>
            </w:pPr>
            <w:r>
              <w:rPr>
                <w:b/>
                <w:bCs/>
                <w:sz w:val="20"/>
                <w:szCs w:val="20"/>
              </w:rPr>
              <w:t xml:space="preserve">VE</w:t>
            </w:r>
          </w:p>
        </w:tc>
        <w:tc>
          <w:tcPr>
            <w:tcW w:w="2707" w:type="dxa"/>
            <w:shd w:val="clear" w:color="auto" w:fill="D9D9D9"/>
          </w:tcPr>
          <w:p>
            <w:pPr>
              <w:spacing w:after="0" w:line="240" w:lineRule="auto"/>
            </w:pPr>
            <w:r>
              <w:rPr>
                <w:b/>
                <w:bCs/>
                <w:sz w:val="20"/>
                <w:szCs w:val="20"/>
              </w:rPr>
              <w:t xml:space="preserve">VLAN name</w:t>
            </w:r>
          </w:p>
        </w:tc>
        <w:tc>
          <w:tcPr>
            <w:tcW w:w="1805" w:type="dxa"/>
            <w:shd w:val="clear" w:color="auto" w:fill="D9D9D9"/>
          </w:tcPr>
          <w:p>
            <w:pPr>
              <w:spacing w:after="0" w:line="240" w:lineRule="auto"/>
            </w:pPr>
            <w:r>
              <w:rPr>
                <w:b/>
                <w:bCs/>
                <w:sz w:val="20"/>
                <w:szCs w:val="20"/>
              </w:rPr>
              <w:t xml:space="preserve">Subnet</w:t>
            </w:r>
          </w:p>
        </w:tc>
        <w:tc>
          <w:tcPr>
            <w:tcW w:w="1714" w:type="dxa"/>
            <w:shd w:val="clear" w:color="auto" w:fill="D9D9D9"/>
          </w:tcPr>
          <w:p>
            <w:pPr>
              <w:spacing w:after="0" w:line="240" w:lineRule="auto"/>
            </w:pPr>
            <w:r>
              <w:rPr>
                <w:b/>
                <w:bCs/>
                <w:sz w:val="20"/>
                <w:szCs w:val="20"/>
              </w:rPr>
              <w:t xml:space="preserve">Helper 2 now</w:t>
            </w:r>
          </w:p>
        </w:tc>
        <w:tc>
          <w:tcPr>
            <w:tcW w:w="1717" w:type="dxa"/>
            <w:shd w:val="clear" w:color="auto" w:fill="D9D9D9"/>
          </w:tcPr>
          <w:p>
            <w:pPr>
              <w:spacing w:after="0" w:line="240" w:lineRule="auto"/>
            </w:pPr>
            <w:r>
              <w:rPr>
                <w:b/>
                <w:bCs/>
                <w:sz w:val="20"/>
                <w:szCs w:val="20"/>
              </w:rPr>
              <w:t xml:space="preserve">Helper 2 new</w:t>
            </w:r>
          </w:p>
        </w:tc>
      </w:tr>
      <w:tr>
        <w:trPr>
          <w:cantSplit/>
        </w:trPr>
        <w:tc>
          <w:tcPr>
            <w:tcW w:w="1083" w:type="dxa"/>
          </w:tcPr>
          <w:p>
            <w:pPr>
              <w:spacing w:after="0" w:line="240" w:lineRule="auto"/>
            </w:pPr>
            <w:r>
              <w:rPr>
                <w:sz w:val="20"/>
                <w:szCs w:val="20"/>
              </w:rPr>
              <w:t xml:space="preserve">2000</w:t>
            </w:r>
          </w:p>
        </w:tc>
        <w:tc>
          <w:tcPr>
            <w:tcW w:w="2707" w:type="dxa"/>
          </w:tcPr>
          <w:p>
            <w:pPr>
              <w:spacing w:after="0" w:line="240" w:lineRule="auto"/>
            </w:pPr>
            <w:r>
              <w:rPr>
                <w:sz w:val="20"/>
                <w:szCs w:val="20"/>
              </w:rPr>
              <w:t xml:space="preserve">VL-netmgmt-01</w:t>
            </w:r>
          </w:p>
        </w:tc>
        <w:tc>
          <w:tcPr>
            <w:tcW w:w="1805" w:type="dxa"/>
          </w:tcPr>
          <w:p>
            <w:pPr>
              <w:spacing w:after="0" w:line="240" w:lineRule="auto"/>
            </w:pPr>
            <w:r>
              <w:rPr>
                <w:sz w:val="20"/>
                <w:szCs w:val="20"/>
              </w:rPr>
              <w:t xml:space="preserve">10.21.0.0/24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2010</w:t>
            </w:r>
          </w:p>
        </w:tc>
        <w:tc>
          <w:tcPr>
            <w:tcW w:w="2707" w:type="dxa"/>
          </w:tcPr>
          <w:p>
            <w:pPr>
              <w:spacing w:after="0" w:line="240" w:lineRule="auto"/>
            </w:pPr>
            <w:r>
              <w:rPr>
                <w:sz w:val="20"/>
                <w:szCs w:val="20"/>
              </w:rPr>
              <w:t xml:space="preserve">VL-wifimgmt-01</w:t>
            </w:r>
          </w:p>
        </w:tc>
        <w:tc>
          <w:tcPr>
            <w:tcW w:w="1805" w:type="dxa"/>
          </w:tcPr>
          <w:p>
            <w:pPr>
              <w:spacing w:after="0" w:line="240" w:lineRule="auto"/>
            </w:pPr>
            <w:r>
              <w:rPr>
                <w:sz w:val="20"/>
                <w:szCs w:val="20"/>
              </w:rPr>
              <w:t xml:space="preserve">10.21.1.0/24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2020</w:t>
            </w:r>
          </w:p>
        </w:tc>
        <w:tc>
          <w:tcPr>
            <w:tcW w:w="2707" w:type="dxa"/>
          </w:tcPr>
          <w:p>
            <w:pPr>
              <w:spacing w:after="0" w:line="240" w:lineRule="auto"/>
            </w:pPr>
            <w:r>
              <w:rPr>
                <w:sz w:val="20"/>
                <w:szCs w:val="20"/>
              </w:rPr>
              <w:t xml:space="preserve">VL-servers-01</w:t>
            </w:r>
          </w:p>
        </w:tc>
        <w:tc>
          <w:tcPr>
            <w:tcW w:w="1805" w:type="dxa"/>
          </w:tcPr>
          <w:p>
            <w:pPr>
              <w:spacing w:after="0" w:line="240" w:lineRule="auto"/>
            </w:pPr>
            <w:r>
              <w:rPr>
                <w:sz w:val="20"/>
                <w:szCs w:val="20"/>
              </w:rPr>
              <w:t xml:space="preserve">10.21.2.0/24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2100</w:t>
            </w:r>
          </w:p>
        </w:tc>
        <w:tc>
          <w:tcPr>
            <w:tcW w:w="2707" w:type="dxa"/>
          </w:tcPr>
          <w:p>
            <w:pPr>
              <w:spacing w:after="0" w:line="240" w:lineRule="auto"/>
            </w:pPr>
            <w:r>
              <w:rPr>
                <w:sz w:val="20"/>
                <w:szCs w:val="20"/>
              </w:rPr>
              <w:t xml:space="preserve">VL-staff-wired-01</w:t>
            </w:r>
          </w:p>
        </w:tc>
        <w:tc>
          <w:tcPr>
            <w:tcW w:w="1805" w:type="dxa"/>
          </w:tcPr>
          <w:p>
            <w:pPr>
              <w:spacing w:after="0" w:line="240" w:lineRule="auto"/>
            </w:pPr>
            <w:r>
              <w:rPr>
                <w:sz w:val="20"/>
                <w:szCs w:val="20"/>
              </w:rPr>
              <w:t xml:space="preserve">10.21.3.0/24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2200</w:t>
            </w:r>
          </w:p>
        </w:tc>
        <w:tc>
          <w:tcPr>
            <w:tcW w:w="2707" w:type="dxa"/>
          </w:tcPr>
          <w:p>
            <w:pPr>
              <w:spacing w:after="0" w:line="240" w:lineRule="auto"/>
            </w:pPr>
            <w:r>
              <w:rPr>
                <w:sz w:val="20"/>
                <w:szCs w:val="20"/>
              </w:rPr>
              <w:t xml:space="preserve">VL-student-wired-01</w:t>
            </w:r>
          </w:p>
        </w:tc>
        <w:tc>
          <w:tcPr>
            <w:tcW w:w="1805" w:type="dxa"/>
          </w:tcPr>
          <w:p>
            <w:pPr>
              <w:spacing w:after="0" w:line="240" w:lineRule="auto"/>
            </w:pPr>
            <w:r>
              <w:rPr>
                <w:sz w:val="20"/>
                <w:szCs w:val="20"/>
              </w:rPr>
              <w:t xml:space="preserve">10.21.4.0/24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2300</w:t>
            </w:r>
          </w:p>
        </w:tc>
        <w:tc>
          <w:tcPr>
            <w:tcW w:w="2707" w:type="dxa"/>
          </w:tcPr>
          <w:p>
            <w:pPr>
              <w:spacing w:after="0" w:line="240" w:lineRule="auto"/>
            </w:pPr>
            <w:r>
              <w:rPr>
                <w:sz w:val="20"/>
                <w:szCs w:val="20"/>
              </w:rPr>
              <w:t xml:space="preserve">VL-wifi-01</w:t>
            </w:r>
          </w:p>
        </w:tc>
        <w:tc>
          <w:tcPr>
            <w:tcW w:w="1805" w:type="dxa"/>
          </w:tcPr>
          <w:p>
            <w:pPr>
              <w:spacing w:after="0" w:line="240" w:lineRule="auto"/>
            </w:pPr>
            <w:r>
              <w:rPr>
                <w:sz w:val="20"/>
                <w:szCs w:val="20"/>
              </w:rPr>
              <w:t xml:space="preserve">10.21.8.0/21</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2310</w:t>
            </w:r>
          </w:p>
        </w:tc>
        <w:tc>
          <w:tcPr>
            <w:tcW w:w="2707" w:type="dxa"/>
          </w:tcPr>
          <w:p>
            <w:pPr>
              <w:spacing w:after="0" w:line="240" w:lineRule="auto"/>
            </w:pPr>
            <w:r>
              <w:rPr>
                <w:sz w:val="20"/>
                <w:szCs w:val="20"/>
              </w:rPr>
              <w:t xml:space="preserve">VL-wifi-staff-01</w:t>
            </w:r>
          </w:p>
        </w:tc>
        <w:tc>
          <w:tcPr>
            <w:tcW w:w="1805" w:type="dxa"/>
          </w:tcPr>
          <w:p>
            <w:pPr>
              <w:spacing w:after="0" w:line="240" w:lineRule="auto"/>
            </w:pPr>
            <w:r>
              <w:rPr>
                <w:sz w:val="20"/>
                <w:szCs w:val="20"/>
              </w:rPr>
              <w:t xml:space="preserve">10.21.16.0/23</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2320</w:t>
            </w:r>
          </w:p>
        </w:tc>
        <w:tc>
          <w:tcPr>
            <w:tcW w:w="2707" w:type="dxa"/>
          </w:tcPr>
          <w:p>
            <w:pPr>
              <w:spacing w:after="0" w:line="240" w:lineRule="auto"/>
            </w:pPr>
            <w:r>
              <w:rPr>
                <w:sz w:val="20"/>
                <w:szCs w:val="20"/>
              </w:rPr>
              <w:t xml:space="preserve">VL-wifi-student-01</w:t>
            </w:r>
          </w:p>
        </w:tc>
        <w:tc>
          <w:tcPr>
            <w:tcW w:w="1805" w:type="dxa"/>
          </w:tcPr>
          <w:p>
            <w:pPr>
              <w:spacing w:after="0" w:line="240" w:lineRule="auto"/>
            </w:pPr>
            <w:r>
              <w:rPr>
                <w:sz w:val="20"/>
                <w:szCs w:val="20"/>
              </w:rPr>
              <w:t xml:space="preserve">10.21.18.0/23</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2400</w:t>
            </w:r>
          </w:p>
        </w:tc>
        <w:tc>
          <w:tcPr>
            <w:tcW w:w="2707" w:type="dxa"/>
          </w:tcPr>
          <w:p>
            <w:pPr>
              <w:spacing w:after="0" w:line="240" w:lineRule="auto"/>
            </w:pPr>
            <w:r>
              <w:rPr>
                <w:sz w:val="20"/>
                <w:szCs w:val="20"/>
              </w:rPr>
              <w:t xml:space="preserve">VL-byod-01</w:t>
            </w:r>
          </w:p>
        </w:tc>
        <w:tc>
          <w:tcPr>
            <w:tcW w:w="1805" w:type="dxa"/>
          </w:tcPr>
          <w:p>
            <w:pPr>
              <w:spacing w:after="0" w:line="240" w:lineRule="auto"/>
            </w:pPr>
            <w:r>
              <w:rPr>
                <w:sz w:val="20"/>
                <w:szCs w:val="20"/>
              </w:rPr>
              <w:t xml:space="preserve">10.21.20.0/24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2500</w:t>
            </w:r>
          </w:p>
        </w:tc>
        <w:tc>
          <w:tcPr>
            <w:tcW w:w="2707" w:type="dxa"/>
          </w:tcPr>
          <w:p>
            <w:pPr>
              <w:spacing w:after="0" w:line="240" w:lineRule="auto"/>
            </w:pPr>
            <w:r>
              <w:rPr>
                <w:sz w:val="20"/>
                <w:szCs w:val="20"/>
              </w:rPr>
              <w:t xml:space="preserve">VL-iot-01</w:t>
            </w:r>
          </w:p>
        </w:tc>
        <w:tc>
          <w:tcPr>
            <w:tcW w:w="1805" w:type="dxa"/>
          </w:tcPr>
          <w:p>
            <w:pPr>
              <w:spacing w:after="0" w:line="240" w:lineRule="auto"/>
            </w:pPr>
            <w:r>
              <w:rPr>
                <w:sz w:val="20"/>
                <w:szCs w:val="20"/>
              </w:rPr>
              <w:t xml:space="preserve">10.21.21.0/24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2510</w:t>
            </w:r>
          </w:p>
        </w:tc>
        <w:tc>
          <w:tcPr>
            <w:tcW w:w="2707" w:type="dxa"/>
          </w:tcPr>
          <w:p>
            <w:pPr>
              <w:spacing w:after="0" w:line="240" w:lineRule="auto"/>
            </w:pPr>
            <w:r>
              <w:rPr>
                <w:sz w:val="20"/>
                <w:szCs w:val="20"/>
              </w:rPr>
              <w:t xml:space="preserve">VL-bac-01</w:t>
            </w:r>
          </w:p>
        </w:tc>
        <w:tc>
          <w:tcPr>
            <w:tcW w:w="1805" w:type="dxa"/>
          </w:tcPr>
          <w:p>
            <w:pPr>
              <w:spacing w:after="0" w:line="240" w:lineRule="auto"/>
            </w:pPr>
            <w:r>
              <w:rPr>
                <w:sz w:val="20"/>
                <w:szCs w:val="20"/>
              </w:rPr>
              <w:t xml:space="preserve">10.21.22.0/24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2520</w:t>
            </w:r>
          </w:p>
        </w:tc>
        <w:tc>
          <w:tcPr>
            <w:tcW w:w="2707" w:type="dxa"/>
          </w:tcPr>
          <w:p>
            <w:pPr>
              <w:spacing w:after="0" w:line="240" w:lineRule="auto"/>
            </w:pPr>
            <w:r>
              <w:rPr>
                <w:sz w:val="20"/>
                <w:szCs w:val="20"/>
              </w:rPr>
              <w:t xml:space="preserve">VL-bms-01</w:t>
            </w:r>
          </w:p>
        </w:tc>
        <w:tc>
          <w:tcPr>
            <w:tcW w:w="1805" w:type="dxa"/>
          </w:tcPr>
          <w:p>
            <w:pPr>
              <w:spacing w:after="0" w:line="240" w:lineRule="auto"/>
            </w:pPr>
            <w:r>
              <w:rPr>
                <w:sz w:val="20"/>
                <w:szCs w:val="20"/>
              </w:rPr>
              <w:t xml:space="preserve">10.21.23.0/24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2530</w:t>
            </w:r>
          </w:p>
        </w:tc>
        <w:tc>
          <w:tcPr>
            <w:tcW w:w="2707" w:type="dxa"/>
          </w:tcPr>
          <w:p>
            <w:pPr>
              <w:spacing w:after="0" w:line="240" w:lineRule="auto"/>
            </w:pPr>
            <w:r>
              <w:rPr>
                <w:sz w:val="20"/>
                <w:szCs w:val="20"/>
              </w:rPr>
              <w:t xml:space="preserve">VL-library-01</w:t>
            </w:r>
          </w:p>
        </w:tc>
        <w:tc>
          <w:tcPr>
            <w:tcW w:w="1805" w:type="dxa"/>
          </w:tcPr>
          <w:p>
            <w:pPr>
              <w:spacing w:after="0" w:line="240" w:lineRule="auto"/>
            </w:pPr>
            <w:r>
              <w:rPr>
                <w:sz w:val="20"/>
                <w:szCs w:val="20"/>
              </w:rPr>
              <w:t xml:space="preserve">10.21.24.0/24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2600</w:t>
            </w:r>
          </w:p>
        </w:tc>
        <w:tc>
          <w:tcPr>
            <w:tcW w:w="2707" w:type="dxa"/>
          </w:tcPr>
          <w:p>
            <w:pPr>
              <w:spacing w:after="0" w:line="240" w:lineRule="auto"/>
            </w:pPr>
            <w:r>
              <w:rPr>
                <w:sz w:val="20"/>
                <w:szCs w:val="20"/>
              </w:rPr>
              <w:t xml:space="preserve">VL-cctv-01</w:t>
            </w:r>
          </w:p>
        </w:tc>
        <w:tc>
          <w:tcPr>
            <w:tcW w:w="1805" w:type="dxa"/>
          </w:tcPr>
          <w:p>
            <w:pPr>
              <w:spacing w:after="0" w:line="240" w:lineRule="auto"/>
            </w:pPr>
            <w:r>
              <w:rPr>
                <w:sz w:val="20"/>
                <w:szCs w:val="20"/>
              </w:rPr>
              <w:t xml:space="preserve">10.21.25.0/24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2700</w:t>
            </w:r>
          </w:p>
        </w:tc>
        <w:tc>
          <w:tcPr>
            <w:tcW w:w="2707" w:type="dxa"/>
          </w:tcPr>
          <w:p>
            <w:pPr>
              <w:spacing w:after="0" w:line="240" w:lineRule="auto"/>
            </w:pPr>
            <w:r>
              <w:rPr>
                <w:sz w:val="20"/>
                <w:szCs w:val="20"/>
              </w:rPr>
              <w:t xml:space="preserve">VL-av-01</w:t>
            </w:r>
          </w:p>
        </w:tc>
        <w:tc>
          <w:tcPr>
            <w:tcW w:w="1805" w:type="dxa"/>
          </w:tcPr>
          <w:p>
            <w:pPr>
              <w:spacing w:after="0" w:line="240" w:lineRule="auto"/>
            </w:pPr>
            <w:r>
              <w:rPr>
                <w:sz w:val="20"/>
                <w:szCs w:val="20"/>
              </w:rPr>
              <w:t xml:space="preserve">10.21.36.0/23</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2800</w:t>
            </w:r>
          </w:p>
        </w:tc>
        <w:tc>
          <w:tcPr>
            <w:tcW w:w="2707" w:type="dxa"/>
          </w:tcPr>
          <w:p>
            <w:pPr>
              <w:spacing w:after="0" w:line="240" w:lineRule="auto"/>
            </w:pPr>
            <w:r>
              <w:rPr>
                <w:sz w:val="20"/>
                <w:szCs w:val="20"/>
              </w:rPr>
              <w:t xml:space="preserve">VL-print-01</w:t>
            </w:r>
          </w:p>
        </w:tc>
        <w:tc>
          <w:tcPr>
            <w:tcW w:w="1805" w:type="dxa"/>
          </w:tcPr>
          <w:p>
            <w:pPr>
              <w:spacing w:after="0" w:line="240" w:lineRule="auto"/>
            </w:pPr>
            <w:r>
              <w:rPr>
                <w:sz w:val="20"/>
                <w:szCs w:val="20"/>
              </w:rPr>
              <w:t xml:space="preserve">10.21.27.0/24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2810</w:t>
            </w:r>
          </w:p>
        </w:tc>
        <w:tc>
          <w:tcPr>
            <w:tcW w:w="2707" w:type="dxa"/>
          </w:tcPr>
          <w:p>
            <w:pPr>
              <w:spacing w:after="0" w:line="240" w:lineRule="auto"/>
            </w:pPr>
            <w:r>
              <w:rPr>
                <w:sz w:val="20"/>
                <w:szCs w:val="20"/>
              </w:rPr>
              <w:t xml:space="preserve">VL-comms-01</w:t>
            </w:r>
          </w:p>
        </w:tc>
        <w:tc>
          <w:tcPr>
            <w:tcW w:w="1805" w:type="dxa"/>
          </w:tcPr>
          <w:p>
            <w:pPr>
              <w:spacing w:after="0" w:line="240" w:lineRule="auto"/>
            </w:pPr>
            <w:r>
              <w:rPr>
                <w:sz w:val="20"/>
                <w:szCs w:val="20"/>
              </w:rPr>
              <w:t xml:space="preserve">10.21.28.0/24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2900</w:t>
            </w:r>
          </w:p>
        </w:tc>
        <w:tc>
          <w:tcPr>
            <w:tcW w:w="2707" w:type="dxa"/>
          </w:tcPr>
          <w:p>
            <w:pPr>
              <w:spacing w:after="0" w:line="240" w:lineRule="auto"/>
            </w:pPr>
            <w:r>
              <w:rPr>
                <w:sz w:val="20"/>
                <w:szCs w:val="20"/>
              </w:rPr>
              <w:t xml:space="preserve">VL-guest-01</w:t>
            </w:r>
          </w:p>
        </w:tc>
        <w:tc>
          <w:tcPr>
            <w:tcW w:w="1805" w:type="dxa"/>
          </w:tcPr>
          <w:p>
            <w:pPr>
              <w:spacing w:after="0" w:line="240" w:lineRule="auto"/>
            </w:pPr>
            <w:r>
              <w:rPr>
                <w:sz w:val="20"/>
                <w:szCs w:val="20"/>
              </w:rPr>
              <w:t xml:space="preserve">10.21.29.0/24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2950</w:t>
            </w:r>
          </w:p>
        </w:tc>
        <w:tc>
          <w:tcPr>
            <w:tcW w:w="2707" w:type="dxa"/>
          </w:tcPr>
          <w:p>
            <w:pPr>
              <w:spacing w:after="0" w:line="240" w:lineRule="auto"/>
            </w:pPr>
            <w:r>
              <w:rPr>
                <w:sz w:val="20"/>
                <w:szCs w:val="20"/>
              </w:rPr>
              <w:t xml:space="preserve">VL-nac-restricted-01</w:t>
            </w:r>
          </w:p>
        </w:tc>
        <w:tc>
          <w:tcPr>
            <w:tcW w:w="1805" w:type="dxa"/>
          </w:tcPr>
          <w:p>
            <w:pPr>
              <w:spacing w:after="0" w:line="240" w:lineRule="auto"/>
            </w:pPr>
            <w:r>
              <w:rPr>
                <w:sz w:val="20"/>
                <w:szCs w:val="20"/>
              </w:rPr>
              <w:t xml:space="preserve">10.21.32.0/24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2951</w:t>
            </w:r>
          </w:p>
        </w:tc>
        <w:tc>
          <w:tcPr>
            <w:tcW w:w="2707" w:type="dxa"/>
          </w:tcPr>
          <w:p>
            <w:pPr>
              <w:spacing w:after="0" w:line="240" w:lineRule="auto"/>
            </w:pPr>
            <w:r>
              <w:rPr>
                <w:sz w:val="20"/>
                <w:szCs w:val="20"/>
              </w:rPr>
              <w:t xml:space="preserve">VL-nac-onboard-01</w:t>
            </w:r>
          </w:p>
        </w:tc>
        <w:tc>
          <w:tcPr>
            <w:tcW w:w="1805" w:type="dxa"/>
          </w:tcPr>
          <w:p>
            <w:pPr>
              <w:spacing w:after="0" w:line="240" w:lineRule="auto"/>
            </w:pPr>
            <w:r>
              <w:rPr>
                <w:sz w:val="20"/>
                <w:szCs w:val="20"/>
              </w:rPr>
              <w:t xml:space="preserve">10.21.33.0/24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2952</w:t>
            </w:r>
          </w:p>
        </w:tc>
        <w:tc>
          <w:tcPr>
            <w:tcW w:w="2707" w:type="dxa"/>
          </w:tcPr>
          <w:p>
            <w:pPr>
              <w:spacing w:after="0" w:line="240" w:lineRule="auto"/>
            </w:pPr>
            <w:r>
              <w:rPr>
                <w:sz w:val="20"/>
                <w:szCs w:val="20"/>
              </w:rPr>
              <w:t xml:space="preserve">VL-nac-remediate-01</w:t>
            </w:r>
          </w:p>
        </w:tc>
        <w:tc>
          <w:tcPr>
            <w:tcW w:w="1805" w:type="dxa"/>
          </w:tcPr>
          <w:p>
            <w:pPr>
              <w:spacing w:after="0" w:line="240" w:lineRule="auto"/>
            </w:pPr>
            <w:r>
              <w:rPr>
                <w:sz w:val="20"/>
                <w:szCs w:val="20"/>
              </w:rPr>
              <w:t xml:space="preserve">10.21.34.0/24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r>
        <w:trPr>
          <w:cantSplit/>
        </w:trPr>
        <w:tc>
          <w:tcPr>
            <w:tcW w:w="1083" w:type="dxa"/>
          </w:tcPr>
          <w:p>
            <w:pPr>
              <w:spacing w:after="0" w:line="240" w:lineRule="auto"/>
            </w:pPr>
            <w:r>
              <w:rPr>
                <w:sz w:val="20"/>
                <w:szCs w:val="20"/>
              </w:rPr>
              <w:t xml:space="preserve">2953</w:t>
            </w:r>
          </w:p>
        </w:tc>
        <w:tc>
          <w:tcPr>
            <w:tcW w:w="2707" w:type="dxa"/>
          </w:tcPr>
          <w:p>
            <w:pPr>
              <w:spacing w:after="0" w:line="240" w:lineRule="auto"/>
            </w:pPr>
            <w:r>
              <w:rPr>
                <w:sz w:val="20"/>
                <w:szCs w:val="20"/>
              </w:rPr>
              <w:t xml:space="preserve">VL-nac-fallback-01</w:t>
            </w:r>
          </w:p>
        </w:tc>
        <w:tc>
          <w:tcPr>
            <w:tcW w:w="1805" w:type="dxa"/>
          </w:tcPr>
          <w:p>
            <w:pPr>
              <w:spacing w:after="0" w:line="240" w:lineRule="auto"/>
            </w:pPr>
            <w:r>
              <w:rPr>
                <w:sz w:val="20"/>
                <w:szCs w:val="20"/>
              </w:rPr>
              <w:t xml:space="preserve">10.21.35.0/24</w:t>
            </w:r>
          </w:p>
        </w:tc>
        <w:tc>
          <w:tcPr>
            <w:tcW w:w="1714" w:type="dxa"/>
          </w:tcPr>
          <w:p>
            <w:pPr>
              <w:spacing w:after="0" w:line="240" w:lineRule="auto"/>
            </w:pPr>
            <w:r>
              <w:rPr>
                <w:sz w:val="20"/>
                <w:szCs w:val="20"/>
              </w:rPr>
              <w:t xml:space="preserve">192.168.12.116</w:t>
            </w:r>
          </w:p>
        </w:tc>
        <w:tc>
          <w:tcPr>
            <w:tcW w:w="1717" w:type="dxa"/>
          </w:tcPr>
          <w:p>
            <w:pPr>
              <w:spacing w:after="0" w:line="240" w:lineRule="auto"/>
            </w:pPr>
            <w:r>
              <w:rPr>
                <w:sz w:val="20"/>
                <w:szCs w:val="20"/>
              </w:rPr>
              <w:t xml:space="preserve">10.20.16.11</w:t>
            </w:r>
          </w:p>
        </w:tc>
      </w:tr>
    </w:tbl>
    <w:sectPr w:rsidR="000E2BC1" w:rsidRPr="000E2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BC1"/>
    <w:rsid w:val="000D67D3"/>
    <w:rsid w:val="000E2BC1"/>
    <w:rsid w:val="00301570"/>
    <w:rsid w:val="00361391"/>
    <w:rsid w:val="007A5AA3"/>
    <w:rsid w:val="007A75F2"/>
    <w:rsid w:val="00893F70"/>
    <w:rsid w:val="00F522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91C2"/>
  <w15:chartTrackingRefBased/>
  <w15:docId w15:val="{45DEAECC-929F-4CDC-A908-58C5EA7E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BC1"/>
    <w:rPr>
      <w:rFonts w:eastAsiaTheme="majorEastAsia" w:cstheme="majorBidi"/>
      <w:color w:val="272727" w:themeColor="text1" w:themeTint="D8"/>
    </w:rPr>
  </w:style>
  <w:style w:type="paragraph" w:styleId="Title">
    <w:name w:val="Title"/>
    <w:basedOn w:val="Normal"/>
    <w:next w:val="Normal"/>
    <w:link w:val="TitleChar"/>
    <w:uiPriority w:val="10"/>
    <w:qFormat/>
    <w:rsid w:val="000E2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BC1"/>
    <w:pPr>
      <w:spacing w:before="160"/>
      <w:jc w:val="center"/>
    </w:pPr>
    <w:rPr>
      <w:i/>
      <w:iCs/>
      <w:color w:val="404040" w:themeColor="text1" w:themeTint="BF"/>
    </w:rPr>
  </w:style>
  <w:style w:type="character" w:customStyle="1" w:styleId="QuoteChar">
    <w:name w:val="Quote Char"/>
    <w:basedOn w:val="DefaultParagraphFont"/>
    <w:link w:val="Quote"/>
    <w:uiPriority w:val="29"/>
    <w:rsid w:val="000E2BC1"/>
    <w:rPr>
      <w:i/>
      <w:iCs/>
      <w:color w:val="404040" w:themeColor="text1" w:themeTint="BF"/>
    </w:rPr>
  </w:style>
  <w:style w:type="paragraph" w:styleId="ListParagraph">
    <w:name w:val="List Paragraph"/>
    <w:basedOn w:val="Normal"/>
    <w:uiPriority w:val="34"/>
    <w:qFormat/>
    <w:rsid w:val="000E2BC1"/>
    <w:pPr>
      <w:ind w:left="720"/>
      <w:contextualSpacing/>
    </w:pPr>
  </w:style>
  <w:style w:type="character" w:styleId="IntenseEmphasis">
    <w:name w:val="Intense Emphasis"/>
    <w:basedOn w:val="DefaultParagraphFont"/>
    <w:uiPriority w:val="21"/>
    <w:qFormat/>
    <w:rsid w:val="000E2BC1"/>
    <w:rPr>
      <w:i/>
      <w:iCs/>
      <w:color w:val="0F4761" w:themeColor="accent1" w:themeShade="BF"/>
    </w:rPr>
  </w:style>
  <w:style w:type="paragraph" w:styleId="IntenseQuote">
    <w:name w:val="Intense Quote"/>
    <w:basedOn w:val="Normal"/>
    <w:next w:val="Normal"/>
    <w:link w:val="IntenseQuoteChar"/>
    <w:uiPriority w:val="30"/>
    <w:qFormat/>
    <w:rsid w:val="000E2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BC1"/>
    <w:rPr>
      <w:i/>
      <w:iCs/>
      <w:color w:val="0F4761" w:themeColor="accent1" w:themeShade="BF"/>
    </w:rPr>
  </w:style>
  <w:style w:type="character" w:styleId="IntenseReference">
    <w:name w:val="Intense Reference"/>
    <w:basedOn w:val="DefaultParagraphFont"/>
    <w:uiPriority w:val="32"/>
    <w:qFormat/>
    <w:rsid w:val="000E2BC1"/>
    <w:rPr>
      <w:b/>
      <w:bCs/>
      <w:smallCaps/>
      <w:color w:val="0F4761" w:themeColor="accent1" w:themeShade="BF"/>
      <w:spacing w:val="5"/>
    </w:rPr>
  </w:style>
  <w:style w:type="character" w:styleId="Hyperlink">
    <w:name w:val="Hyperlink"/>
    <w:basedOn w:val="DefaultParagraphFont"/>
    <w:uiPriority w:val="99"/>
    <w:unhideWhenUsed/>
    <w:rsid w:val="000D67D3"/>
    <w:rPr>
      <w:color w:val="467886" w:themeColor="hyperlink"/>
      <w:u w:val="single"/>
    </w:rPr>
  </w:style>
  <w:style w:type="character" w:styleId="UnresolvedMention">
    <w:name w:val="Unresolved Mention"/>
    <w:basedOn w:val="DefaultParagraphFont"/>
    <w:uiPriority w:val="99"/>
    <w:semiHidden/>
    <w:unhideWhenUsed/>
    <w:rsid w:val="000D6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Num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600</Words>
  <Characters>3228</Characters>
  <Application>Microsoft Office Word</Application>
  <DocSecurity>0</DocSecurity>
  <Lines>116</Lines>
  <Paragraphs>14</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Alam Singh</dc:creator>
  <cp:keywords/>
  <dc:description/>
  <cp:lastModifiedBy>Alam Singh</cp:lastModifiedBy>
  <cp:revision>5</cp:revision>
  <dcterms:created xsi:type="dcterms:W3CDTF">2025-10-26T11:43:00Z</dcterms:created>
  <dcterms:modified xsi:type="dcterms:W3CDTF">2025-10-26T11:58:00Z</dcterms:modified>
  <dc:title>Trinity 200V DHCP Helper Change</dc:title>
</cp:coreProperties>
</file>