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three UPS management cards move to VL-netmgmt-01 (2000); and old trunk (tagged) VLANs are removed from access ports where Trinity asked. Trinity's answers of 22 October to the review email are included. 266 ports are in this change now; 1 (LT2-2 1/1/1) waits for Trinity's answer (see Prerequisites).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707"/>
        <w:gridCol w:w="1083"/>
        <w:gridCol w:w="1353"/>
        <w:gridCol w:w="1083"/>
        <w:gridCol w:w="1173"/>
        <w:gridCol w:w="1627"/>
      </w:tblGrid>
      <w:tr>
        <w:trPr>
          <w:cantSplit/>
          <w:tblHeader/>
        </w:trPr>
        <w:tc>
          <w:tcPr>
            <w:tcW w:w="2707" w:type="dxa"/>
            <w:shd w:val="clear" w:color="auto" w:fill="D9D9D9"/>
          </w:tcPr>
          <w:p>
            <w:pPr>
              <w:spacing w:after="0" w:line="240" w:lineRule="auto"/>
            </w:pPr>
            <w:r>
              <w:rPr>
                <w:b/>
                <w:bCs/>
                <w:sz w:val="16"/>
                <w:szCs w:val="16"/>
              </w:rPr>
              <w:t xml:space="preserve">Switch</w:t>
            </w:r>
          </w:p>
        </w:tc>
        <w:tc>
          <w:tcPr>
            <w:tcW w:w="1083" w:type="dxa"/>
            <w:shd w:val="clear" w:color="auto" w:fill="D9D9D9"/>
          </w:tcPr>
          <w:p>
            <w:pPr>
              <w:spacing w:after="0" w:line="240" w:lineRule="auto"/>
            </w:pPr>
            <w:r>
              <w:rPr>
                <w:b/>
                <w:bCs/>
                <w:sz w:val="16"/>
                <w:szCs w:val="16"/>
              </w:rPr>
              <w:t xml:space="preserve">To 2100</w:t>
            </w:r>
          </w:p>
        </w:tc>
        <w:tc>
          <w:tcPr>
            <w:tcW w:w="1353" w:type="dxa"/>
            <w:shd w:val="clear" w:color="auto" w:fill="D9D9D9"/>
          </w:tcPr>
          <w:p>
            <w:pPr>
              <w:spacing w:after="0" w:line="240" w:lineRule="auto"/>
            </w:pPr>
            <w:r>
              <w:rPr>
                <w:b/>
                <w:bCs/>
                <w:sz w:val="16"/>
                <w:szCs w:val="16"/>
              </w:rPr>
              <w:t xml:space="preserve">To 2100, tags off</w:t>
            </w:r>
          </w:p>
        </w:tc>
        <w:tc>
          <w:tcPr>
            <w:tcW w:w="1083" w:type="dxa"/>
            <w:shd w:val="clear" w:color="auto" w:fill="D9D9D9"/>
          </w:tcPr>
          <w:p>
            <w:pPr>
              <w:spacing w:after="0" w:line="240" w:lineRule="auto"/>
            </w:pPr>
            <w:r>
              <w:rPr>
                <w:b/>
                <w:bCs/>
                <w:sz w:val="16"/>
                <w:szCs w:val="16"/>
              </w:rPr>
              <w:t xml:space="preserve">To 2000</w:t>
            </w:r>
          </w:p>
        </w:tc>
        <w:tc>
          <w:tcPr>
            <w:tcW w:w="1173" w:type="dxa"/>
            <w:shd w:val="clear" w:color="auto" w:fill="D9D9D9"/>
          </w:tcPr>
          <w:p>
            <w:pPr>
              <w:spacing w:after="0" w:line="240" w:lineRule="auto"/>
            </w:pPr>
            <w:r>
              <w:rPr>
                <w:b/>
                <w:bCs/>
                <w:sz w:val="16"/>
                <w:szCs w:val="16"/>
              </w:rPr>
              <w:t xml:space="preserve">To VLAN 1</w:t>
            </w:r>
          </w:p>
        </w:tc>
        <w:tc>
          <w:tcPr>
            <w:tcW w:w="1627" w:type="dxa"/>
            <w:shd w:val="clear" w:color="auto" w:fill="D9D9D9"/>
          </w:tcPr>
          <w:p>
            <w:pPr>
              <w:spacing w:after="0" w:line="240" w:lineRule="auto"/>
            </w:pPr>
            <w:r>
              <w:rPr>
                <w:b/>
                <w:bCs/>
                <w:sz w:val="16"/>
                <w:szCs w:val="16"/>
              </w:rPr>
              <w:t xml:space="preserve">To VLAN 1, tags off</w:t>
            </w:r>
          </w:p>
        </w:tc>
      </w:tr>
      <w:tr>
        <w:trPr>
          <w:cantSplit/>
        </w:trPr>
        <w:tc>
          <w:tcPr>
            <w:tcW w:w="2707" w:type="dxa"/>
          </w:tcPr>
          <w:p>
            <w:pPr>
              <w:spacing w:after="0" w:line="240" w:lineRule="auto"/>
            </w:pPr>
            <w:r>
              <w:rPr>
                <w:sz w:val="16"/>
                <w:szCs w:val="16"/>
              </w:rPr>
              <w:t xml:space="preserve">switch-200V-stack-lv3</w:t>
            </w:r>
          </w:p>
        </w:tc>
        <w:tc>
          <w:tcPr>
            <w:tcW w:w="1083" w:type="dxa"/>
          </w:tcPr>
          <w:p>
            <w:pPr>
              <w:spacing w:after="0" w:line="240" w:lineRule="auto"/>
            </w:pPr>
            <w:r>
              <w:rPr>
                <w:sz w:val="16"/>
                <w:szCs w:val="16"/>
              </w:rPr>
              <w:t xml:space="preserve">16</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15</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switch-200V-stack-lv4</w:t>
            </w:r>
          </w:p>
        </w:tc>
        <w:tc>
          <w:tcPr>
            <w:tcW w:w="1083" w:type="dxa"/>
          </w:tcPr>
          <w:p>
            <w:pPr>
              <w:spacing w:after="0" w:line="240" w:lineRule="auto"/>
            </w:pPr>
            <w:r>
              <w:rPr>
                <w:sz w:val="16"/>
                <w:szCs w:val="16"/>
              </w:rPr>
              <w:t xml:space="preserve">23</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switch-200V-stack-lv6</w:t>
            </w:r>
          </w:p>
        </w:tc>
        <w:tc>
          <w:tcPr>
            <w:tcW w:w="1083" w:type="dxa"/>
          </w:tcPr>
          <w:p>
            <w:pPr>
              <w:spacing w:after="0" w:line="240" w:lineRule="auto"/>
            </w:pPr>
            <w:r>
              <w:rPr>
                <w:sz w:val="16"/>
                <w:szCs w:val="16"/>
              </w:rPr>
              <w:t xml:space="preserve">116</w:t>
            </w:r>
          </w:p>
        </w:tc>
        <w:tc>
          <w:tcPr>
            <w:tcW w:w="1353" w:type="dxa"/>
          </w:tcPr>
          <w:p>
            <w:pPr>
              <w:spacing w:after="0" w:line="240" w:lineRule="auto"/>
            </w:pPr>
            <w:r>
              <w:rPr>
                <w:sz w:val="16"/>
                <w:szCs w:val="16"/>
              </w:rPr>
              <w:t xml:space="preserve">19</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7</w:t>
            </w:r>
          </w:p>
        </w:tc>
        <w:tc>
          <w:tcPr>
            <w:tcW w:w="1627" w:type="dxa"/>
          </w:tcPr>
          <w:p>
            <w:pPr>
              <w:spacing w:after="0" w:line="240" w:lineRule="auto"/>
            </w:pPr>
            <w:r>
              <w:rPr>
                <w:sz w:val="16"/>
                <w:szCs w:val="16"/>
              </w:rPr>
              <w:t xml:space="preserve">2</w:t>
            </w:r>
          </w:p>
        </w:tc>
      </w:tr>
      <w:tr>
        <w:trPr>
          <w:cantSplit/>
        </w:trPr>
        <w:tc>
          <w:tcPr>
            <w:tcW w:w="2707" w:type="dxa"/>
          </w:tcPr>
          <w:p>
            <w:pPr>
              <w:spacing w:after="0" w:line="240" w:lineRule="auto"/>
            </w:pPr>
            <w:r>
              <w:rPr>
                <w:sz w:val="16"/>
                <w:szCs w:val="16"/>
              </w:rPr>
              <w:t xml:space="preserve">switch-200V-LT2-1</w:t>
            </w:r>
          </w:p>
        </w:tc>
        <w:tc>
          <w:tcPr>
            <w:tcW w:w="1083" w:type="dxa"/>
          </w:tcPr>
          <w:p>
            <w:pPr>
              <w:spacing w:after="0" w:line="240" w:lineRule="auto"/>
            </w:pPr>
            <w:r>
              <w:rPr>
                <w:sz w:val="16"/>
                <w:szCs w:val="16"/>
              </w:rPr>
              <w:t xml:space="preserve">1</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switch-200V-LT2-2</w:t>
            </w:r>
          </w:p>
        </w:tc>
        <w:tc>
          <w:tcPr>
            <w:tcW w:w="1083" w:type="dxa"/>
          </w:tcPr>
          <w:p>
            <w:pPr>
              <w:spacing w:after="0" w:line="240" w:lineRule="auto"/>
            </w:pPr>
            <w:r>
              <w:rPr>
                <w:sz w:val="16"/>
                <w:szCs w:val="16"/>
              </w:rPr>
              <w:t xml:space="preserve">10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switch-200V-LT2-3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10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switch-200V-Tutorial-6.03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switch-200V-8</w:t>
            </w:r>
          </w:p>
        </w:tc>
        <w:tc>
          <w:tcPr>
            <w:tcW w:w="1083" w:type="dxa"/>
          </w:tcPr>
          <w:p>
            <w:pPr>
              <w:spacing w:after="0" w:line="240" w:lineRule="auto"/>
            </w:pPr>
            <w:r>
              <w:rPr>
                <w:sz w:val="16"/>
                <w:szCs w:val="16"/>
              </w:rPr>
              <w:t xml:space="preserve">7</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Total</w:t>
            </w:r>
          </w:p>
        </w:tc>
        <w:tc>
          <w:tcPr>
            <w:tcW w:w="1083" w:type="dxa"/>
          </w:tcPr>
          <w:p>
            <w:pPr>
              <w:spacing w:after="0" w:line="240" w:lineRule="auto"/>
            </w:pPr>
            <w:r>
              <w:rPr>
                <w:sz w:val="16"/>
                <w:szCs w:val="16"/>
              </w:rPr>
              <w:t xml:space="preserve">173</w:t>
            </w:r>
          </w:p>
        </w:tc>
        <w:tc>
          <w:tcPr>
            <w:tcW w:w="1353" w:type="dxa"/>
          </w:tcPr>
          <w:p>
            <w:pPr>
              <w:spacing w:after="0" w:line="240" w:lineRule="auto"/>
            </w:pPr>
            <w:r>
              <w:rPr>
                <w:sz w:val="16"/>
                <w:szCs w:val="16"/>
              </w:rPr>
              <w:t xml:space="preserve">29</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56</w:t>
            </w:r>
          </w:p>
        </w:tc>
        <w:tc>
          <w:tcPr>
            <w:tcW w:w="1627" w:type="dxa"/>
          </w:tcPr>
          <w:p>
            <w:pPr>
              <w:spacing w:after="0" w:line="240" w:lineRule="auto"/>
            </w:pPr>
            <w:r>
              <w:rPr>
                <w:sz w:val="16"/>
                <w:szCs w:val="16"/>
              </w:rPr>
              <w:t xml:space="preserve">5</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 pending block)</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241 of the 266 ports were down on 16 October: no impact; a device plugged in later comes up on the new VLAN</w:t>
      </w:r>
    </w:p>
    <w:p>
      <w:pPr>
        <w:pStyle w:val="ListParagraph"/>
        <w:numPr>
          <w:ilvl w:val="0"/>
          <w:numId w:val="1"/>
        </w:numPr>
        <w:spacing w:after="60"/>
      </w:pPr>
      <w:r>
        <w:t xml:space="preserve">25 ports were up: staff devices on 1240 (10.9.9.x) and the three UPS cards on switch-200V-8. Each loses its connection for about 30 seconds while the port is bounced; staff devices then get a new address on 10.21.3.0/24 (VL-staff-wired-01)</w:t>
      </w:r>
    </w:p>
    <w:p>
      <w:pPr>
        <w:pStyle w:val="ListParagraph"/>
        <w:numPr>
          <w:ilvl w:val="0"/>
          <w:numId w:val="1"/>
        </w:numPr>
        <w:spacing w:after="60"/>
      </w:pPr>
      <w:r>
        <w:t xml:space="preserve">The three UPS cards (switch-200V-8 1/1/7 - 1/1/9, 10.9.9.95 - .97) need DHCP or a fixed 10.21.0.x address (outside 10.21.0.20 - .27) before they are reachable on VL-netmgmt-01</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 Until the SRX allows the admin jump host and the SNMP server to reach 10.21.0.0/24 (see Prerequisites), they can only be reached through SmartZone or from trinity200V-core, and SNMP monitoring of them stops</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 and that Trinity's answers for the pending ports are recorded.</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When Trinity have answered, paste the PENDING blocks with the option Trinity chose, verify and 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Item 1: lv3 2/1/27, lv4 4/1/32 and lv4 5/1/19 have the last three 20:7B:D2 devices on them (seen 14 - 15 October). Trinity marked them default VLAN; Dycom proposes 2100 like the other 13 (decision of 9 October)</w:t>
            </w:r>
          </w:p>
        </w:tc>
        <w:tc>
          <w:tcPr>
            <w:tcW w:w="2000" w:type="dxa"/>
          </w:tcPr>
          <w:p>
            <w:pPr>
              <w:spacing w:after="0" w:line="240" w:lineRule="auto"/>
            </w:pPr>
            <w:r>
              <w:rPr>
                <w:sz w:val="20"/>
                <w:szCs w:val="20"/>
              </w:rPr>
              <w:t xml:space="preserve">Complete (Trinity 22 October: 2100)</w:t>
            </w:r>
          </w:p>
        </w:tc>
      </w:tr>
      <w:tr>
        <w:trPr>
          <w:cantSplit/>
        </w:trPr>
        <w:tc>
          <w:tcPr>
            <w:tcW w:w="7026" w:type="dxa"/>
          </w:tcPr>
          <w:p>
            <w:pPr>
              <w:spacing w:after="0" w:line="240" w:lineRule="auto"/>
            </w:pPr>
            <w:r>
              <w:rPr>
                <w:sz w:val="20"/>
                <w:szCs w:val="20"/>
              </w:rPr>
              <w:t xml:space="preserve">Item 2: switch-200V-8 1/1/7 - 1/1/9 (00:09:F5, same vendor as lv3/lv4 1/1/48 now on 2000). Trinity to confirm the device type, VLAN 2000 or 2100, and whether they have fixed addresses</w:t>
            </w:r>
          </w:p>
        </w:tc>
        <w:tc>
          <w:tcPr>
            <w:tcW w:w="2000" w:type="dxa"/>
          </w:tcPr>
          <w:p>
            <w:pPr>
              <w:spacing w:after="0" w:line="240" w:lineRule="auto"/>
            </w:pPr>
            <w:r>
              <w:rPr>
                <w:sz w:val="20"/>
                <w:szCs w:val="20"/>
              </w:rPr>
              <w:t xml:space="preserve">Complete (Trinity 22 October: UPS cards, 2000). Addressing of the cards on 10.21.0.0/24 still to be set</w:t>
            </w:r>
          </w:p>
        </w:tc>
      </w:tr>
      <w:tr>
        <w:trPr>
          <w:cantSplit/>
        </w:trPr>
        <w:tc>
          <w:tcPr>
            <w:tcW w:w="7026" w:type="dxa"/>
          </w:tcPr>
          <w:p>
            <w:pPr>
              <w:spacing w:after="0" w:line="240" w:lineRule="auto"/>
            </w:pPr>
            <w:r>
              <w:rPr>
                <w:sz w:val="20"/>
                <w:szCs w:val="20"/>
              </w:rPr>
              <w:t xml:space="preserve">Item 3: LT2-2 1/1/1 is not the LT2-2 uplink (that is 1/1/12); Trinity to confirm no switch is to be connected before its trunk VLANs are removed</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Ports moved to VLAN 1: stay enabled on VLAN 1, or also be disabled</w:t>
            </w:r>
          </w:p>
        </w:tc>
        <w:tc>
          <w:tcPr>
            <w:tcW w:w="2000" w:type="dxa"/>
          </w:tcPr>
          <w:p>
            <w:pPr>
              <w:spacing w:after="0" w:line="240" w:lineRule="auto"/>
            </w:pPr>
            <w:r>
              <w:rPr>
                <w:sz w:val="20"/>
                <w:szCs w:val="20"/>
              </w:rPr>
              <w:t xml:space="preserve">Complete (22 October: stay enabled on VLAN 1)</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Complete (confirmed by Trinity 22 October)</w:t>
            </w:r>
          </w:p>
        </w:tc>
      </w:tr>
      <w:tr>
        <w:trPr>
          <w:cantSplit/>
        </w:trPr>
        <w:tc>
          <w:tcPr>
            <w:tcW w:w="7026" w:type="dxa"/>
          </w:tcPr>
          <w:p>
            <w:pPr>
              <w:spacing w:after="0" w:line="240" w:lineRule="auto"/>
            </w:pPr>
            <w:r>
              <w:rPr>
                <w:sz w:val="20"/>
                <w:szCs w:val="20"/>
              </w:rPr>
              <w:t xml:space="preserve">Part B: SRX policy to allow the admin jump host (10.128.132.10) to reach 10.21.0.0/24 by SSH/telnet, and SNMP between 10.21.0.0/24 and 10.128.240.12. Not in the Sparx policy report; without it the switches are managed through SmartZone or from the core only</w:t>
            </w:r>
          </w:p>
        </w:tc>
        <w:tc>
          <w:tcPr>
            <w:tcW w:w="2000" w:type="dxa"/>
          </w:tcPr>
          <w:p>
            <w:pPr>
              <w:spacing w:after="0" w:line="240" w:lineRule="auto"/>
            </w:pPr>
            <w:r>
              <w:rPr>
                <w:sz w:val="20"/>
                <w:szCs w:val="20"/>
              </w:rPr>
              <w:t xml:space="preserve">Pending decision</w:t>
            </w:r>
          </w:p>
        </w:tc>
      </w:tr>
      <w:tr>
        <w:trPr>
          <w:cantSplit/>
        </w:trPr>
        <w:tc>
          <w:tcPr>
            <w:tcW w:w="7026" w:type="dxa"/>
          </w:tcPr>
          <w:p>
            <w:pPr>
              <w:spacing w:after="0" w:line="240" w:lineRule="auto"/>
            </w:pPr>
            <w:r>
              <w:rPr>
                <w:sz w:val="20"/>
                <w:szCs w:val="20"/>
              </w:rPr>
              <w:t xml:space="preserve">Part B: ntp1.trinity.unimelb.edu.au resolves to one of the NTP servers the SRX allows for 10.21.0.0/24</w:t>
            </w:r>
          </w:p>
        </w:tc>
        <w:tc>
          <w:tcPr>
            <w:tcW w:w="2000" w:type="dxa"/>
          </w:tcPr>
          <w:p>
            <w:pPr>
              <w:spacing w:after="0" w:line="240" w:lineRule="auto"/>
            </w:pPr>
            <w:r>
              <w:rPr>
                <w:sz w:val="20"/>
                <w:szCs w:val="20"/>
              </w:rPr>
              <w:t xml:space="preserve">Complete (checked 22 October)</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SRX allows 10.21.0.0/24 to SmartZone (192.168.245.0/24, 192.168.81.0/24), SmartZone back to it, DNS 10.128.128.31/.60 and the Internet (Sparx policy report)</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the UPS cards keep their 10.9.9.x addresses on VL-netmgmt-01, then UPS monitoring of them stops. This is likely unless they use DHCP. If this risk occurs, give them 10.21.0.x addresses (DHCP or fixed, outside 10.21.0.20 - .27).</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if the SRX does not allow the admin jump host and SNMP server to 10.21.0.0/24, then direct SSH and SNMP monitoring stop. This is likely until a policy is added. If this risk occurs, manage the switches through SmartZone or from trinity200V-core.</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Early morning or after hours, about 1 hour, once Trinity have approved the change. LT2-2 1/1/1 waits for item 3. The ports that are down can be done at any time. Part B can be done in business hours (no user impact) (the DHCP exclusion is confirmed) once the SRX access decision is made.</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Ports marked pending are not changed until Trinity confirm.</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 2000, 2010, 2020, 2100, 2200, 2300, 2310, 2320, 2400, 2500, 2510, 2520, 2530, 2600, 2700, 2800, 2810, 2900, 2950, 2951, 2952, 2953]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Pending: item 3: not the LT2-2 uplink (1/1/12); confirm no switch is to be connected</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00:09:F5:32:DB:15</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00:09:F5:32:DB:D1</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00:09:F5:32:DB:14</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