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40" w:after="120"/>
      </w:pPr>
      <w:r>
        <w:rPr>
          <w:b/>
          <w:bCs/>
        </w:rPr>
        <w:t xml:space="preserve">What is the change</w:t>
      </w:r>
    </w:p>
    <w:p>
      <w:r>
        <w:t xml:space="preserve">This change has two parts on the same eight 200V access switches. Part A cleans up access ports as recommended by Trinity. Part B moves each switch's management address from VLAN 100 (192.168.122.x) to VL-netmgmt-01, VLAN 2000 (10.21.0.x), so that all management traffic uses the new network. The two parts are independent and can be done in either order or in separate windows. The core switch, trinity200V-core, is not changed by either part.</w:t>
      </w:r>
    </w:p>
    <w:p>
      <w:r>
        <w:t xml:space="preserve">Part A, port clean-up. Clean up 267 access ports on eight 200V switches as recommended by Trinity in column Q of Trinity_switch_ports_16-10-2026.xlsx (SmartZone export, 16 October 2026). Ports still on the old staff VLAN 1240 move to VL-staff-wired-01 (2100); unused ports still on old VLANs (mostly the old AV VLAN 1230) are returned to the default VLAN (VLAN 1); three UPS management cards move to VL-netmgmt-01 (2000); and old trunk (tagged) VLANs are removed from access ports where Trinity asked, with the port decisions agreed with Trinity on 22 October. 267 ports are in this change.</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707"/>
        <w:gridCol w:w="1083"/>
        <w:gridCol w:w="1353"/>
        <w:gridCol w:w="1083"/>
        <w:gridCol w:w="1173"/>
        <w:gridCol w:w="1627"/>
      </w:tblGrid>
      <w:tr>
        <w:trPr>
          <w:cantSplit/>
          <w:tblHeader/>
        </w:trPr>
        <w:tc>
          <w:tcPr>
            <w:tcW w:w="2707" w:type="dxa"/>
            <w:shd w:val="clear" w:color="auto" w:fill="D9D9D9"/>
          </w:tcPr>
          <w:p>
            <w:pPr>
              <w:spacing w:after="0" w:line="240" w:lineRule="auto"/>
            </w:pPr>
            <w:r>
              <w:rPr>
                <w:b/>
                <w:bCs/>
                <w:sz w:val="16"/>
                <w:szCs w:val="16"/>
              </w:rPr>
              <w:t xml:space="preserve">Switch</w:t>
            </w:r>
          </w:p>
        </w:tc>
        <w:tc>
          <w:tcPr>
            <w:tcW w:w="1083" w:type="dxa"/>
            <w:shd w:val="clear" w:color="auto" w:fill="D9D9D9"/>
          </w:tcPr>
          <w:p>
            <w:pPr>
              <w:spacing w:after="0" w:line="240" w:lineRule="auto"/>
            </w:pPr>
            <w:r>
              <w:rPr>
                <w:b/>
                <w:bCs/>
                <w:sz w:val="16"/>
                <w:szCs w:val="16"/>
              </w:rPr>
              <w:t xml:space="preserve">To 2100</w:t>
            </w:r>
          </w:p>
        </w:tc>
        <w:tc>
          <w:tcPr>
            <w:tcW w:w="1353" w:type="dxa"/>
            <w:shd w:val="clear" w:color="auto" w:fill="D9D9D9"/>
          </w:tcPr>
          <w:p>
            <w:pPr>
              <w:spacing w:after="0" w:line="240" w:lineRule="auto"/>
            </w:pPr>
            <w:r>
              <w:rPr>
                <w:b/>
                <w:bCs/>
                <w:sz w:val="16"/>
                <w:szCs w:val="16"/>
              </w:rPr>
              <w:t xml:space="preserve">To 2100, tags off</w:t>
            </w:r>
          </w:p>
        </w:tc>
        <w:tc>
          <w:tcPr>
            <w:tcW w:w="1083" w:type="dxa"/>
            <w:shd w:val="clear" w:color="auto" w:fill="D9D9D9"/>
          </w:tcPr>
          <w:p>
            <w:pPr>
              <w:spacing w:after="0" w:line="240" w:lineRule="auto"/>
            </w:pPr>
            <w:r>
              <w:rPr>
                <w:b/>
                <w:bCs/>
                <w:sz w:val="16"/>
                <w:szCs w:val="16"/>
              </w:rPr>
              <w:t xml:space="preserve">To 2000</w:t>
            </w:r>
          </w:p>
        </w:tc>
        <w:tc>
          <w:tcPr>
            <w:tcW w:w="1173" w:type="dxa"/>
            <w:shd w:val="clear" w:color="auto" w:fill="D9D9D9"/>
          </w:tcPr>
          <w:p>
            <w:pPr>
              <w:spacing w:after="0" w:line="240" w:lineRule="auto"/>
            </w:pPr>
            <w:r>
              <w:rPr>
                <w:b/>
                <w:bCs/>
                <w:sz w:val="16"/>
                <w:szCs w:val="16"/>
              </w:rPr>
              <w:t xml:space="preserve">To VLAN 1</w:t>
            </w:r>
          </w:p>
        </w:tc>
        <w:tc>
          <w:tcPr>
            <w:tcW w:w="1627" w:type="dxa"/>
            <w:shd w:val="clear" w:color="auto" w:fill="D9D9D9"/>
          </w:tcPr>
          <w:p>
            <w:pPr>
              <w:spacing w:after="0" w:line="240" w:lineRule="auto"/>
            </w:pPr>
            <w:r>
              <w:rPr>
                <w:b/>
                <w:bCs/>
                <w:sz w:val="16"/>
                <w:szCs w:val="16"/>
              </w:rPr>
              <w:t xml:space="preserve">To VLAN 1, tags off</w:t>
            </w:r>
          </w:p>
        </w:tc>
      </w:tr>
      <w:tr>
        <w:trPr>
          <w:cantSplit/>
        </w:trPr>
        <w:tc>
          <w:tcPr>
            <w:tcW w:w="2707" w:type="dxa"/>
          </w:tcPr>
          <w:p>
            <w:pPr>
              <w:spacing w:after="0" w:line="240" w:lineRule="auto"/>
            </w:pPr>
            <w:r>
              <w:rPr>
                <w:sz w:val="16"/>
                <w:szCs w:val="16"/>
              </w:rPr>
              <w:t xml:space="preserve">switch-200V-stack-lv3</w:t>
            </w:r>
          </w:p>
        </w:tc>
        <w:tc>
          <w:tcPr>
            <w:tcW w:w="1083" w:type="dxa"/>
          </w:tcPr>
          <w:p>
            <w:pPr>
              <w:spacing w:after="0" w:line="240" w:lineRule="auto"/>
            </w:pPr>
            <w:r>
              <w:rPr>
                <w:sz w:val="16"/>
                <w:szCs w:val="16"/>
              </w:rPr>
              <w:t xml:space="preserve">16</w:t>
            </w:r>
          </w:p>
        </w:tc>
        <w:tc>
          <w:tcPr>
            <w:tcW w:w="1353" w:type="dxa"/>
          </w:tcPr>
          <w:p>
            <w:pPr>
              <w:spacing w:after="0" w:line="240" w:lineRule="auto"/>
            </w:pPr>
            <w:r>
              <w:rPr>
                <w:sz w:val="16"/>
                <w:szCs w:val="16"/>
              </w:rPr>
              <w:t xml:space="preserve">0</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15</w:t>
            </w:r>
          </w:p>
        </w:tc>
        <w:tc>
          <w:tcPr>
            <w:tcW w:w="1627" w:type="dxa"/>
          </w:tcPr>
          <w:p>
            <w:pPr>
              <w:spacing w:after="0" w:line="240" w:lineRule="auto"/>
            </w:pPr>
            <w:r>
              <w:rPr>
                <w:sz w:val="16"/>
                <w:szCs w:val="16"/>
              </w:rPr>
              <w:t xml:space="preserve">1</w:t>
            </w:r>
          </w:p>
        </w:tc>
      </w:tr>
      <w:tr>
        <w:trPr>
          <w:cantSplit/>
        </w:trPr>
        <w:tc>
          <w:tcPr>
            <w:tcW w:w="2707" w:type="dxa"/>
          </w:tcPr>
          <w:p>
            <w:pPr>
              <w:spacing w:after="0" w:line="240" w:lineRule="auto"/>
            </w:pPr>
            <w:r>
              <w:rPr>
                <w:sz w:val="16"/>
                <w:szCs w:val="16"/>
              </w:rPr>
              <w:t xml:space="preserve">switch-200V-stack-lv4</w:t>
            </w:r>
          </w:p>
        </w:tc>
        <w:tc>
          <w:tcPr>
            <w:tcW w:w="1083" w:type="dxa"/>
          </w:tcPr>
          <w:p>
            <w:pPr>
              <w:spacing w:after="0" w:line="240" w:lineRule="auto"/>
            </w:pPr>
            <w:r>
              <w:rPr>
                <w:sz w:val="16"/>
                <w:szCs w:val="16"/>
              </w:rPr>
              <w:t xml:space="preserve">23</w:t>
            </w:r>
          </w:p>
        </w:tc>
        <w:tc>
          <w:tcPr>
            <w:tcW w:w="1353" w:type="dxa"/>
          </w:tcPr>
          <w:p>
            <w:pPr>
              <w:spacing w:after="0" w:line="240" w:lineRule="auto"/>
            </w:pPr>
            <w:r>
              <w:rPr>
                <w:sz w:val="16"/>
                <w:szCs w:val="16"/>
              </w:rPr>
              <w:t xml:space="preserve">0</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30</w:t>
            </w:r>
          </w:p>
        </w:tc>
        <w:tc>
          <w:tcPr>
            <w:tcW w:w="1627" w:type="dxa"/>
          </w:tcPr>
          <w:p>
            <w:pPr>
              <w:spacing w:after="0" w:line="240" w:lineRule="auto"/>
            </w:pPr>
            <w:r>
              <w:rPr>
                <w:sz w:val="16"/>
                <w:szCs w:val="16"/>
              </w:rPr>
              <w:t xml:space="preserve">1</w:t>
            </w:r>
          </w:p>
        </w:tc>
      </w:tr>
      <w:tr>
        <w:trPr>
          <w:cantSplit/>
        </w:trPr>
        <w:tc>
          <w:tcPr>
            <w:tcW w:w="2707" w:type="dxa"/>
          </w:tcPr>
          <w:p>
            <w:pPr>
              <w:spacing w:after="0" w:line="240" w:lineRule="auto"/>
            </w:pPr>
            <w:r>
              <w:rPr>
                <w:sz w:val="16"/>
                <w:szCs w:val="16"/>
              </w:rPr>
              <w:t xml:space="preserve">switch-200V-stack-lv6</w:t>
            </w:r>
          </w:p>
        </w:tc>
        <w:tc>
          <w:tcPr>
            <w:tcW w:w="1083" w:type="dxa"/>
          </w:tcPr>
          <w:p>
            <w:pPr>
              <w:spacing w:after="0" w:line="240" w:lineRule="auto"/>
            </w:pPr>
            <w:r>
              <w:rPr>
                <w:sz w:val="16"/>
                <w:szCs w:val="16"/>
              </w:rPr>
              <w:t xml:space="preserve">116</w:t>
            </w:r>
          </w:p>
        </w:tc>
        <w:tc>
          <w:tcPr>
            <w:tcW w:w="1353" w:type="dxa"/>
          </w:tcPr>
          <w:p>
            <w:pPr>
              <w:spacing w:after="0" w:line="240" w:lineRule="auto"/>
            </w:pPr>
            <w:r>
              <w:rPr>
                <w:sz w:val="16"/>
                <w:szCs w:val="16"/>
              </w:rPr>
              <w:t xml:space="preserve">19</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7</w:t>
            </w:r>
          </w:p>
        </w:tc>
        <w:tc>
          <w:tcPr>
            <w:tcW w:w="1627" w:type="dxa"/>
          </w:tcPr>
          <w:p>
            <w:pPr>
              <w:spacing w:after="0" w:line="240" w:lineRule="auto"/>
            </w:pPr>
            <w:r>
              <w:rPr>
                <w:sz w:val="16"/>
                <w:szCs w:val="16"/>
              </w:rPr>
              <w:t xml:space="preserve">2</w:t>
            </w:r>
          </w:p>
        </w:tc>
      </w:tr>
      <w:tr>
        <w:trPr>
          <w:cantSplit/>
        </w:trPr>
        <w:tc>
          <w:tcPr>
            <w:tcW w:w="2707" w:type="dxa"/>
          </w:tcPr>
          <w:p>
            <w:pPr>
              <w:spacing w:after="0" w:line="240" w:lineRule="auto"/>
            </w:pPr>
            <w:r>
              <w:rPr>
                <w:sz w:val="16"/>
                <w:szCs w:val="16"/>
              </w:rPr>
              <w:t xml:space="preserve">switch-200V-LT2-1</w:t>
            </w:r>
          </w:p>
        </w:tc>
        <w:tc>
          <w:tcPr>
            <w:tcW w:w="1083" w:type="dxa"/>
          </w:tcPr>
          <w:p>
            <w:pPr>
              <w:spacing w:after="0" w:line="240" w:lineRule="auto"/>
            </w:pPr>
            <w:r>
              <w:rPr>
                <w:sz w:val="16"/>
                <w:szCs w:val="16"/>
              </w:rPr>
              <w:t xml:space="preserve">1</w:t>
            </w:r>
          </w:p>
        </w:tc>
        <w:tc>
          <w:tcPr>
            <w:tcW w:w="1353" w:type="dxa"/>
          </w:tcPr>
          <w:p>
            <w:pPr>
              <w:spacing w:after="0" w:line="240" w:lineRule="auto"/>
            </w:pPr>
            <w:r>
              <w:rPr>
                <w:sz w:val="16"/>
                <w:szCs w:val="16"/>
              </w:rPr>
              <w:t xml:space="preserve">0</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3</w:t>
            </w:r>
          </w:p>
        </w:tc>
        <w:tc>
          <w:tcPr>
            <w:tcW w:w="1627" w:type="dxa"/>
          </w:tcPr>
          <w:p>
            <w:pPr>
              <w:spacing w:after="0" w:line="240" w:lineRule="auto"/>
            </w:pPr>
            <w:r>
              <w:rPr>
                <w:sz w:val="16"/>
                <w:szCs w:val="16"/>
              </w:rPr>
              <w:t xml:space="preserve">1</w:t>
            </w:r>
          </w:p>
        </w:tc>
      </w:tr>
      <w:tr>
        <w:trPr>
          <w:cantSplit/>
        </w:trPr>
        <w:tc>
          <w:tcPr>
            <w:tcW w:w="2707" w:type="dxa"/>
          </w:tcPr>
          <w:p>
            <w:pPr>
              <w:spacing w:after="0" w:line="240" w:lineRule="auto"/>
            </w:pPr>
            <w:r>
              <w:rPr>
                <w:sz w:val="16"/>
                <w:szCs w:val="16"/>
              </w:rPr>
              <w:t xml:space="preserve">switch-200V-LT2-2</w:t>
            </w:r>
          </w:p>
        </w:tc>
        <w:tc>
          <w:tcPr>
            <w:tcW w:w="1083" w:type="dxa"/>
          </w:tcPr>
          <w:p>
            <w:pPr>
              <w:spacing w:after="0" w:line="240" w:lineRule="auto"/>
            </w:pPr>
            <w:r>
              <w:rPr>
                <w:sz w:val="16"/>
                <w:szCs w:val="16"/>
              </w:rPr>
              <w:t xml:space="preserve">10</w:t>
            </w:r>
          </w:p>
        </w:tc>
        <w:tc>
          <w:tcPr>
            <w:tcW w:w="1353" w:type="dxa"/>
          </w:tcPr>
          <w:p>
            <w:pPr>
              <w:spacing w:after="0" w:line="240" w:lineRule="auto"/>
            </w:pPr>
            <w:r>
              <w:rPr>
                <w:sz w:val="16"/>
                <w:szCs w:val="16"/>
              </w:rPr>
              <w:t xml:space="preserve">0</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0</w:t>
            </w:r>
          </w:p>
        </w:tc>
        <w:tc>
          <w:tcPr>
            <w:tcW w:w="1627" w:type="dxa"/>
          </w:tcPr>
          <w:p>
            <w:pPr>
              <w:spacing w:after="0" w:line="240" w:lineRule="auto"/>
            </w:pPr>
            <w:r>
              <w:rPr>
                <w:sz w:val="16"/>
                <w:szCs w:val="16"/>
              </w:rPr>
              <w:t xml:space="preserve">1</w:t>
            </w:r>
          </w:p>
        </w:tc>
      </w:tr>
      <w:tr>
        <w:trPr>
          <w:cantSplit/>
        </w:trPr>
        <w:tc>
          <w:tcPr>
            <w:tcW w:w="2707" w:type="dxa"/>
          </w:tcPr>
          <w:p>
            <w:pPr>
              <w:spacing w:after="0" w:line="240" w:lineRule="auto"/>
            </w:pPr>
            <w:r>
              <w:rPr>
                <w:sz w:val="16"/>
                <w:szCs w:val="16"/>
              </w:rPr>
              <w:t xml:space="preserve">switch-200V-LT2-3</w:t>
            </w:r>
          </w:p>
        </w:tc>
        <w:tc>
          <w:tcPr>
            <w:tcW w:w="1083" w:type="dxa"/>
          </w:tcPr>
          <w:p>
            <w:pPr>
              <w:spacing w:after="0" w:line="240" w:lineRule="auto"/>
            </w:pPr>
            <w:r>
              <w:rPr>
                <w:sz w:val="16"/>
                <w:szCs w:val="16"/>
              </w:rPr>
              <w:t xml:space="preserve">0</w:t>
            </w:r>
          </w:p>
        </w:tc>
        <w:tc>
          <w:tcPr>
            <w:tcW w:w="1353" w:type="dxa"/>
          </w:tcPr>
          <w:p>
            <w:pPr>
              <w:spacing w:after="0" w:line="240" w:lineRule="auto"/>
            </w:pPr>
            <w:r>
              <w:rPr>
                <w:sz w:val="16"/>
                <w:szCs w:val="16"/>
              </w:rPr>
              <w:t xml:space="preserve">10</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0</w:t>
            </w:r>
          </w:p>
        </w:tc>
        <w:tc>
          <w:tcPr>
            <w:tcW w:w="1627" w:type="dxa"/>
          </w:tcPr>
          <w:p>
            <w:pPr>
              <w:spacing w:after="0" w:line="240" w:lineRule="auto"/>
            </w:pPr>
            <w:r>
              <w:rPr>
                <w:sz w:val="16"/>
                <w:szCs w:val="16"/>
              </w:rPr>
              <w:t xml:space="preserve">0</w:t>
            </w:r>
          </w:p>
        </w:tc>
      </w:tr>
      <w:tr>
        <w:trPr>
          <w:cantSplit/>
        </w:trPr>
        <w:tc>
          <w:tcPr>
            <w:tcW w:w="2707" w:type="dxa"/>
          </w:tcPr>
          <w:p>
            <w:pPr>
              <w:spacing w:after="0" w:line="240" w:lineRule="auto"/>
            </w:pPr>
            <w:r>
              <w:rPr>
                <w:sz w:val="16"/>
                <w:szCs w:val="16"/>
              </w:rPr>
              <w:t xml:space="preserve">switch-200V-Tutorial-6.03</w:t>
            </w:r>
          </w:p>
        </w:tc>
        <w:tc>
          <w:tcPr>
            <w:tcW w:w="1083" w:type="dxa"/>
          </w:tcPr>
          <w:p>
            <w:pPr>
              <w:spacing w:after="0" w:line="240" w:lineRule="auto"/>
            </w:pPr>
            <w:r>
              <w:rPr>
                <w:sz w:val="16"/>
                <w:szCs w:val="16"/>
              </w:rPr>
              <w:t xml:space="preserve">0</w:t>
            </w:r>
          </w:p>
        </w:tc>
        <w:tc>
          <w:tcPr>
            <w:tcW w:w="1353" w:type="dxa"/>
          </w:tcPr>
          <w:p>
            <w:pPr>
              <w:spacing w:after="0" w:line="240" w:lineRule="auto"/>
            </w:pPr>
            <w:r>
              <w:rPr>
                <w:sz w:val="16"/>
                <w:szCs w:val="16"/>
              </w:rPr>
              <w:t xml:space="preserve">0</w:t>
            </w:r>
          </w:p>
        </w:tc>
        <w:tc>
          <w:tcPr>
            <w:tcW w:w="1083" w:type="dxa"/>
          </w:tcPr>
          <w:p>
            <w:pPr>
              <w:spacing w:after="0" w:line="240" w:lineRule="auto"/>
            </w:pPr>
            <w:r>
              <w:rPr>
                <w:sz w:val="16"/>
                <w:szCs w:val="16"/>
              </w:rPr>
              <w:t xml:space="preserve">0</w:t>
            </w:r>
          </w:p>
        </w:tc>
        <w:tc>
          <w:tcPr>
            <w:tcW w:w="1173" w:type="dxa"/>
          </w:tcPr>
          <w:p>
            <w:pPr>
              <w:spacing w:after="0" w:line="240" w:lineRule="auto"/>
            </w:pPr>
            <w:r>
              <w:rPr>
                <w:sz w:val="16"/>
                <w:szCs w:val="16"/>
              </w:rPr>
              <w:t xml:space="preserve">1</w:t>
            </w:r>
          </w:p>
        </w:tc>
        <w:tc>
          <w:tcPr>
            <w:tcW w:w="1627" w:type="dxa"/>
          </w:tcPr>
          <w:p>
            <w:pPr>
              <w:spacing w:after="0" w:line="240" w:lineRule="auto"/>
            </w:pPr>
            <w:r>
              <w:rPr>
                <w:sz w:val="16"/>
                <w:szCs w:val="16"/>
              </w:rPr>
              <w:t xml:space="preserve">0</w:t>
            </w:r>
          </w:p>
        </w:tc>
      </w:tr>
      <w:tr>
        <w:trPr>
          <w:cantSplit/>
        </w:trPr>
        <w:tc>
          <w:tcPr>
            <w:tcW w:w="2707" w:type="dxa"/>
          </w:tcPr>
          <w:p>
            <w:pPr>
              <w:spacing w:after="0" w:line="240" w:lineRule="auto"/>
            </w:pPr>
            <w:r>
              <w:rPr>
                <w:sz w:val="16"/>
                <w:szCs w:val="16"/>
              </w:rPr>
              <w:t xml:space="preserve">switch-200V-8</w:t>
            </w:r>
          </w:p>
        </w:tc>
        <w:tc>
          <w:tcPr>
            <w:tcW w:w="1083" w:type="dxa"/>
          </w:tcPr>
          <w:p>
            <w:pPr>
              <w:spacing w:after="0" w:line="240" w:lineRule="auto"/>
            </w:pPr>
            <w:r>
              <w:rPr>
                <w:sz w:val="16"/>
                <w:szCs w:val="16"/>
              </w:rPr>
              <w:t xml:space="preserve">7</w:t>
            </w:r>
          </w:p>
        </w:tc>
        <w:tc>
          <w:tcPr>
            <w:tcW w:w="1353" w:type="dxa"/>
          </w:tcPr>
          <w:p>
            <w:pPr>
              <w:spacing w:after="0" w:line="240" w:lineRule="auto"/>
            </w:pPr>
            <w:r>
              <w:rPr>
                <w:sz w:val="16"/>
                <w:szCs w:val="16"/>
              </w:rPr>
              <w:t xml:space="preserve">0</w:t>
            </w:r>
          </w:p>
        </w:tc>
        <w:tc>
          <w:tcPr>
            <w:tcW w:w="1083" w:type="dxa"/>
          </w:tcPr>
          <w:p>
            <w:pPr>
              <w:spacing w:after="0" w:line="240" w:lineRule="auto"/>
            </w:pPr>
            <w:r>
              <w:rPr>
                <w:sz w:val="16"/>
                <w:szCs w:val="16"/>
              </w:rPr>
              <w:t xml:space="preserve">3</w:t>
            </w:r>
          </w:p>
        </w:tc>
        <w:tc>
          <w:tcPr>
            <w:tcW w:w="1173" w:type="dxa"/>
          </w:tcPr>
          <w:p>
            <w:pPr>
              <w:spacing w:after="0" w:line="240" w:lineRule="auto"/>
            </w:pPr>
            <w:r>
              <w:rPr>
                <w:sz w:val="16"/>
                <w:szCs w:val="16"/>
              </w:rPr>
              <w:t xml:space="preserve">0</w:t>
            </w:r>
          </w:p>
        </w:tc>
        <w:tc>
          <w:tcPr>
            <w:tcW w:w="1627" w:type="dxa"/>
          </w:tcPr>
          <w:p>
            <w:pPr>
              <w:spacing w:after="0" w:line="240" w:lineRule="auto"/>
            </w:pPr>
            <w:r>
              <w:rPr>
                <w:sz w:val="16"/>
                <w:szCs w:val="16"/>
              </w:rPr>
              <w:t xml:space="preserve">0</w:t>
            </w:r>
          </w:p>
        </w:tc>
      </w:tr>
      <w:tr>
        <w:trPr>
          <w:cantSplit/>
        </w:trPr>
        <w:tc>
          <w:tcPr>
            <w:tcW w:w="2707" w:type="dxa"/>
          </w:tcPr>
          <w:p>
            <w:pPr>
              <w:spacing w:after="0" w:line="240" w:lineRule="auto"/>
            </w:pPr>
            <w:r>
              <w:rPr>
                <w:sz w:val="16"/>
                <w:szCs w:val="16"/>
              </w:rPr>
              <w:t xml:space="preserve">Total</w:t>
            </w:r>
          </w:p>
        </w:tc>
        <w:tc>
          <w:tcPr>
            <w:tcW w:w="1083" w:type="dxa"/>
          </w:tcPr>
          <w:p>
            <w:pPr>
              <w:spacing w:after="0" w:line="240" w:lineRule="auto"/>
            </w:pPr>
            <w:r>
              <w:rPr>
                <w:sz w:val="16"/>
                <w:szCs w:val="16"/>
              </w:rPr>
              <w:t xml:space="preserve">173</w:t>
            </w:r>
          </w:p>
        </w:tc>
        <w:tc>
          <w:tcPr>
            <w:tcW w:w="1353" w:type="dxa"/>
          </w:tcPr>
          <w:p>
            <w:pPr>
              <w:spacing w:after="0" w:line="240" w:lineRule="auto"/>
            </w:pPr>
            <w:r>
              <w:rPr>
                <w:sz w:val="16"/>
                <w:szCs w:val="16"/>
              </w:rPr>
              <w:t xml:space="preserve">29</w:t>
            </w:r>
          </w:p>
        </w:tc>
        <w:tc>
          <w:tcPr>
            <w:tcW w:w="1083" w:type="dxa"/>
          </w:tcPr>
          <w:p>
            <w:pPr>
              <w:spacing w:after="0" w:line="240" w:lineRule="auto"/>
            </w:pPr>
            <w:r>
              <w:rPr>
                <w:sz w:val="16"/>
                <w:szCs w:val="16"/>
              </w:rPr>
              <w:t xml:space="preserve">3</w:t>
            </w:r>
          </w:p>
        </w:tc>
        <w:tc>
          <w:tcPr>
            <w:tcW w:w="1173" w:type="dxa"/>
          </w:tcPr>
          <w:p>
            <w:pPr>
              <w:spacing w:after="0" w:line="240" w:lineRule="auto"/>
            </w:pPr>
            <w:r>
              <w:rPr>
                <w:sz w:val="16"/>
                <w:szCs w:val="16"/>
              </w:rPr>
              <w:t xml:space="preserve">56</w:t>
            </w:r>
          </w:p>
        </w:tc>
        <w:tc>
          <w:tcPr>
            <w:tcW w:w="1627" w:type="dxa"/>
          </w:tcPr>
          <w:p>
            <w:pPr>
              <w:spacing w:after="0" w:line="240" w:lineRule="auto"/>
            </w:pPr>
            <w:r>
              <w:rPr>
                <w:sz w:val="16"/>
                <w:szCs w:val="16"/>
              </w:rPr>
              <w:t xml:space="preserve">6</w:t>
            </w:r>
          </w:p>
        </w:tc>
      </w:tr>
    </w:tbl>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527"/>
        <w:gridCol w:w="6499"/>
      </w:tblGrid>
      <w:tr>
        <w:trPr>
          <w:cantSplit/>
          <w:tblHeader/>
        </w:trPr>
        <w:tc>
          <w:tcPr>
            <w:tcW w:w="2527" w:type="dxa"/>
            <w:shd w:val="clear" w:color="auto" w:fill="D9D9D9"/>
          </w:tcPr>
          <w:p>
            <w:pPr>
              <w:spacing w:after="0" w:line="240" w:lineRule="auto"/>
            </w:pPr>
            <w:r>
              <w:rPr>
                <w:b/>
                <w:bCs/>
                <w:sz w:val="20"/>
                <w:szCs w:val="20"/>
              </w:rPr>
              <w:t xml:space="preserve">Item</w:t>
            </w:r>
          </w:p>
        </w:tc>
        <w:tc>
          <w:tcPr>
            <w:tcW w:w="6499" w:type="dxa"/>
            <w:shd w:val="clear" w:color="auto" w:fill="D9D9D9"/>
          </w:tcPr>
          <w:p>
            <w:pPr>
              <w:spacing w:after="0" w:line="240" w:lineRule="auto"/>
            </w:pPr>
            <w:r>
              <w:rPr>
                <w:b/>
                <w:bCs/>
                <w:sz w:val="20"/>
                <w:szCs w:val="20"/>
              </w:rPr>
              <w:t xml:space="preserve">Value</w:t>
            </w:r>
          </w:p>
        </w:tc>
      </w:tr>
      <w:tr>
        <w:trPr>
          <w:cantSplit/>
        </w:trPr>
        <w:tc>
          <w:tcPr>
            <w:tcW w:w="2527" w:type="dxa"/>
          </w:tcPr>
          <w:p>
            <w:pPr>
              <w:spacing w:after="0" w:line="240" w:lineRule="auto"/>
            </w:pPr>
            <w:r>
              <w:rPr>
                <w:sz w:val="20"/>
                <w:szCs w:val="20"/>
              </w:rPr>
              <w:t xml:space="preserve">Devices</w:t>
            </w:r>
          </w:p>
        </w:tc>
        <w:tc>
          <w:tcPr>
            <w:tcW w:w="6499" w:type="dxa"/>
          </w:tcPr>
          <w:p>
            <w:pPr>
              <w:spacing w:after="0" w:line="240" w:lineRule="auto"/>
            </w:pPr>
            <w:r>
              <w:rPr>
                <w:sz w:val="20"/>
                <w:szCs w:val="20"/>
              </w:rPr>
              <w:t xml:space="preserve">switch-200V-stack-lv3, -lv4, -lv6, switch-200V-LT2-1, -LT2-2, -LT2-3, switch-200V-Tutorial-6.03, switch-200V-8 (RUCKUS ICX, FastIron 10.0.10g)</w:t>
            </w:r>
          </w:p>
        </w:tc>
      </w:tr>
      <w:tr>
        <w:trPr>
          <w:cantSplit/>
        </w:trPr>
        <w:tc>
          <w:tcPr>
            <w:tcW w:w="2527" w:type="dxa"/>
          </w:tcPr>
          <w:p>
            <w:pPr>
              <w:spacing w:after="0" w:line="240" w:lineRule="auto"/>
            </w:pPr>
            <w:r>
              <w:rPr>
                <w:sz w:val="20"/>
                <w:szCs w:val="20"/>
              </w:rPr>
              <w:t xml:space="preserve">Setting</w:t>
            </w:r>
          </w:p>
        </w:tc>
        <w:tc>
          <w:tcPr>
            <w:tcW w:w="6499" w:type="dxa"/>
          </w:tcPr>
          <w:p>
            <w:pPr>
              <w:spacing w:after="0" w:line="240" w:lineRule="auto"/>
            </w:pPr>
            <w:r>
              <w:rPr>
                <w:sz w:val="20"/>
                <w:szCs w:val="20"/>
              </w:rPr>
              <w:t xml:space="preserve">Untagged and tagged VLAN membership of access ports only</w:t>
            </w:r>
          </w:p>
        </w:tc>
      </w:tr>
      <w:tr>
        <w:trPr>
          <w:cantSplit/>
        </w:trPr>
        <w:tc>
          <w:tcPr>
            <w:tcW w:w="2527" w:type="dxa"/>
          </w:tcPr>
          <w:p>
            <w:pPr>
              <w:spacing w:after="0" w:line="240" w:lineRule="auto"/>
            </w:pPr>
            <w:r>
              <w:rPr>
                <w:sz w:val="20"/>
                <w:szCs w:val="20"/>
              </w:rPr>
              <w:t xml:space="preserve">Unchanged</w:t>
            </w:r>
          </w:p>
        </w:tc>
        <w:tc>
          <w:tcPr>
            <w:tcW w:w="6499" w:type="dxa"/>
          </w:tcPr>
          <w:p>
            <w:pPr>
              <w:spacing w:after="0" w:line="240" w:lineRule="auto"/>
            </w:pPr>
            <w:r>
              <w:rPr>
                <w:sz w:val="20"/>
                <w:szCs w:val="20"/>
              </w:rPr>
              <w:t xml:space="preserve">Uplinks, LAGs, stack ports, the core switch, VLANs, IP addressing, ACLs, DHCP</w:t>
            </w:r>
          </w:p>
        </w:tc>
      </w:tr>
      <w:tr>
        <w:trPr>
          <w:cantSplit/>
        </w:trPr>
        <w:tc>
          <w:tcPr>
            <w:tcW w:w="2527" w:type="dxa"/>
          </w:tcPr>
          <w:p>
            <w:pPr>
              <w:spacing w:after="0" w:line="240" w:lineRule="auto"/>
            </w:pPr>
            <w:r>
              <w:rPr>
                <w:sz w:val="20"/>
                <w:szCs w:val="20"/>
              </w:rPr>
              <w:t xml:space="preserve">Default VLAN</w:t>
            </w:r>
          </w:p>
        </w:tc>
        <w:tc>
          <w:tcPr>
            <w:tcW w:w="6499" w:type="dxa"/>
          </w:tcPr>
          <w:p>
            <w:pPr>
              <w:spacing w:after="0" w:line="240" w:lineRule="auto"/>
            </w:pPr>
            <w:r>
              <w:rPr>
                <w:sz w:val="20"/>
                <w:szCs w:val="20"/>
              </w:rPr>
              <w:t xml:space="preserve">VLAN 1 (DEFAULT-VLAN). Removing a port's untagged VLAN on ICX returns it to VLAN 1. VLAN 1 has no IP address on the core, so a device plugged into one of these ports gets no network</w:t>
            </w:r>
          </w:p>
        </w:tc>
      </w:tr>
      <w:tr>
        <w:trPr>
          <w:cantSplit/>
        </w:trPr>
        <w:tc>
          <w:tcPr>
            <w:tcW w:w="2527" w:type="dxa"/>
          </w:tcPr>
          <w:p>
            <w:pPr>
              <w:spacing w:after="0" w:line="240" w:lineRule="auto"/>
            </w:pPr>
            <w:r>
              <w:rPr>
                <w:sz w:val="20"/>
                <w:szCs w:val="20"/>
              </w:rPr>
              <w:t xml:space="preserve">Configuration file</w:t>
            </w:r>
          </w:p>
        </w:tc>
        <w:tc>
          <w:tcPr>
            <w:tcW w:w="6499" w:type="dxa"/>
          </w:tcPr>
          <w:p>
            <w:pPr>
              <w:spacing w:after="0" w:line="240" w:lineRule="auto"/>
            </w:pPr>
            <w:r>
              <w:rPr>
                <w:sz w:val="20"/>
                <w:szCs w:val="20"/>
              </w:rPr>
              <w:t xml:space="preserve">200V-port-review-16oct-ICX.txt (per switch: pre-check, change, port bounce, verify, rollback)</w:t>
            </w:r>
          </w:p>
        </w:tc>
      </w:tr>
    </w:tbl>
    <w:p>
      <w:pPr>
        <w:spacing w:after="80"/>
      </w:pPr>
    </w:p>
    <w:p>
      <w:r>
        <w:t xml:space="preserve">Part B, switch management to VLAN 2000. Each switch gets an address on interface ve 2000 in 10.21.0.0/24; its default route moves from 192.168.120.1 to 10.21.0.1 (trinity200V-core ve 2000); 'management source-interface ve 2000 protocol all' makes every management protocol the switch originates (SmartZone, SNMP traps, NTP, DNS, SSH/telnet, TFTP/SCP) use the new address; and finally the 192.168.122.x address is removed from ve 100. VLAN 100 itself stays, as it is still tagged on ports and uplinks.</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3610"/>
        <w:gridCol w:w="2707"/>
        <w:gridCol w:w="2709"/>
      </w:tblGrid>
      <w:tr>
        <w:trPr>
          <w:cantSplit/>
          <w:tblHeader/>
        </w:trPr>
        <w:tc>
          <w:tcPr>
            <w:tcW w:w="3610" w:type="dxa"/>
            <w:shd w:val="clear" w:color="auto" w:fill="D9D9D9"/>
          </w:tcPr>
          <w:p>
            <w:pPr>
              <w:spacing w:after="0" w:line="240" w:lineRule="auto"/>
            </w:pPr>
            <w:r>
              <w:rPr>
                <w:b/>
                <w:bCs/>
                <w:sz w:val="20"/>
                <w:szCs w:val="20"/>
              </w:rPr>
              <w:t xml:space="preserve">Switch</w:t>
            </w:r>
          </w:p>
        </w:tc>
        <w:tc>
          <w:tcPr>
            <w:tcW w:w="2707" w:type="dxa"/>
            <w:shd w:val="clear" w:color="auto" w:fill="D9D9D9"/>
          </w:tcPr>
          <w:p>
            <w:pPr>
              <w:spacing w:after="0" w:line="240" w:lineRule="auto"/>
            </w:pPr>
            <w:r>
              <w:rPr>
                <w:b/>
                <w:bCs/>
                <w:sz w:val="20"/>
                <w:szCs w:val="20"/>
              </w:rPr>
              <w:t xml:space="preserve">Now (ve 100)</w:t>
            </w:r>
          </w:p>
        </w:tc>
        <w:tc>
          <w:tcPr>
            <w:tcW w:w="2709" w:type="dxa"/>
            <w:shd w:val="clear" w:color="auto" w:fill="D9D9D9"/>
          </w:tcPr>
          <w:p>
            <w:pPr>
              <w:spacing w:after="0" w:line="240" w:lineRule="auto"/>
            </w:pPr>
            <w:r>
              <w:rPr>
                <w:b/>
                <w:bCs/>
                <w:sz w:val="20"/>
                <w:szCs w:val="20"/>
              </w:rPr>
              <w:t xml:space="preserve">New (ve 2000)</w:t>
            </w:r>
          </w:p>
        </w:tc>
      </w:tr>
      <w:tr>
        <w:trPr>
          <w:cantSplit/>
        </w:trPr>
        <w:tc>
          <w:tcPr>
            <w:tcW w:w="3610" w:type="dxa"/>
          </w:tcPr>
          <w:p>
            <w:pPr>
              <w:spacing w:after="0" w:line="240" w:lineRule="auto"/>
            </w:pPr>
            <w:r>
              <w:rPr>
                <w:sz w:val="20"/>
                <w:szCs w:val="20"/>
              </w:rPr>
              <w:t xml:space="preserve">switch-200V-stack-lv6</w:t>
            </w:r>
          </w:p>
        </w:tc>
        <w:tc>
          <w:tcPr>
            <w:tcW w:w="2707" w:type="dxa"/>
          </w:tcPr>
          <w:p>
            <w:pPr>
              <w:spacing w:after="0" w:line="240" w:lineRule="auto"/>
            </w:pPr>
            <w:r>
              <w:rPr>
                <w:sz w:val="20"/>
                <w:szCs w:val="20"/>
              </w:rPr>
              <w:t xml:space="preserve">192.168.122.11/22</w:t>
            </w:r>
          </w:p>
        </w:tc>
        <w:tc>
          <w:tcPr>
            <w:tcW w:w="2709" w:type="dxa"/>
          </w:tcPr>
          <w:p>
            <w:pPr>
              <w:spacing w:after="0" w:line="240" w:lineRule="auto"/>
            </w:pPr>
            <w:r>
              <w:rPr>
                <w:sz w:val="20"/>
                <w:szCs w:val="20"/>
              </w:rPr>
              <w:t xml:space="preserve">10.21.0.20/24</w:t>
            </w:r>
          </w:p>
        </w:tc>
      </w:tr>
      <w:tr>
        <w:trPr>
          <w:cantSplit/>
        </w:trPr>
        <w:tc>
          <w:tcPr>
            <w:tcW w:w="3610" w:type="dxa"/>
          </w:tcPr>
          <w:p>
            <w:pPr>
              <w:spacing w:after="0" w:line="240" w:lineRule="auto"/>
            </w:pPr>
            <w:r>
              <w:rPr>
                <w:sz w:val="20"/>
                <w:szCs w:val="20"/>
              </w:rPr>
              <w:t xml:space="preserve">switch-200V-LT2-1</w:t>
            </w:r>
          </w:p>
        </w:tc>
        <w:tc>
          <w:tcPr>
            <w:tcW w:w="2707" w:type="dxa"/>
          </w:tcPr>
          <w:p>
            <w:pPr>
              <w:spacing w:after="0" w:line="240" w:lineRule="auto"/>
            </w:pPr>
            <w:r>
              <w:rPr>
                <w:sz w:val="20"/>
                <w:szCs w:val="20"/>
              </w:rPr>
              <w:t xml:space="preserve">192.168.122.12/22</w:t>
            </w:r>
          </w:p>
        </w:tc>
        <w:tc>
          <w:tcPr>
            <w:tcW w:w="2709" w:type="dxa"/>
          </w:tcPr>
          <w:p>
            <w:pPr>
              <w:spacing w:after="0" w:line="240" w:lineRule="auto"/>
            </w:pPr>
            <w:r>
              <w:rPr>
                <w:sz w:val="20"/>
                <w:szCs w:val="20"/>
              </w:rPr>
              <w:t xml:space="preserve">10.21.0.21/24</w:t>
            </w:r>
          </w:p>
        </w:tc>
      </w:tr>
      <w:tr>
        <w:trPr>
          <w:cantSplit/>
        </w:trPr>
        <w:tc>
          <w:tcPr>
            <w:tcW w:w="3610" w:type="dxa"/>
          </w:tcPr>
          <w:p>
            <w:pPr>
              <w:spacing w:after="0" w:line="240" w:lineRule="auto"/>
            </w:pPr>
            <w:r>
              <w:rPr>
                <w:sz w:val="20"/>
                <w:szCs w:val="20"/>
              </w:rPr>
              <w:t xml:space="preserve">switch-200V-LT2-2</w:t>
            </w:r>
          </w:p>
        </w:tc>
        <w:tc>
          <w:tcPr>
            <w:tcW w:w="2707" w:type="dxa"/>
          </w:tcPr>
          <w:p>
            <w:pPr>
              <w:spacing w:after="0" w:line="240" w:lineRule="auto"/>
            </w:pPr>
            <w:r>
              <w:rPr>
                <w:sz w:val="20"/>
                <w:szCs w:val="20"/>
              </w:rPr>
              <w:t xml:space="preserve">192.168.122.13/22</w:t>
            </w:r>
          </w:p>
        </w:tc>
        <w:tc>
          <w:tcPr>
            <w:tcW w:w="2709" w:type="dxa"/>
          </w:tcPr>
          <w:p>
            <w:pPr>
              <w:spacing w:after="0" w:line="240" w:lineRule="auto"/>
            </w:pPr>
            <w:r>
              <w:rPr>
                <w:sz w:val="20"/>
                <w:szCs w:val="20"/>
              </w:rPr>
              <w:t xml:space="preserve">10.21.0.22/24</w:t>
            </w:r>
          </w:p>
        </w:tc>
      </w:tr>
      <w:tr>
        <w:trPr>
          <w:cantSplit/>
        </w:trPr>
        <w:tc>
          <w:tcPr>
            <w:tcW w:w="3610" w:type="dxa"/>
          </w:tcPr>
          <w:p>
            <w:pPr>
              <w:spacing w:after="0" w:line="240" w:lineRule="auto"/>
            </w:pPr>
            <w:r>
              <w:rPr>
                <w:sz w:val="20"/>
                <w:szCs w:val="20"/>
              </w:rPr>
              <w:t xml:space="preserve">switch-200V-LT2-3</w:t>
            </w:r>
          </w:p>
        </w:tc>
        <w:tc>
          <w:tcPr>
            <w:tcW w:w="2707" w:type="dxa"/>
          </w:tcPr>
          <w:p>
            <w:pPr>
              <w:spacing w:after="0" w:line="240" w:lineRule="auto"/>
            </w:pPr>
            <w:r>
              <w:rPr>
                <w:sz w:val="20"/>
                <w:szCs w:val="20"/>
              </w:rPr>
              <w:t xml:space="preserve">192.168.122.14/22</w:t>
            </w:r>
          </w:p>
        </w:tc>
        <w:tc>
          <w:tcPr>
            <w:tcW w:w="2709" w:type="dxa"/>
          </w:tcPr>
          <w:p>
            <w:pPr>
              <w:spacing w:after="0" w:line="240" w:lineRule="auto"/>
            </w:pPr>
            <w:r>
              <w:rPr>
                <w:sz w:val="20"/>
                <w:szCs w:val="20"/>
              </w:rPr>
              <w:t xml:space="preserve">10.21.0.23/24</w:t>
            </w:r>
          </w:p>
        </w:tc>
      </w:tr>
      <w:tr>
        <w:trPr>
          <w:cantSplit/>
        </w:trPr>
        <w:tc>
          <w:tcPr>
            <w:tcW w:w="3610" w:type="dxa"/>
          </w:tcPr>
          <w:p>
            <w:pPr>
              <w:spacing w:after="0" w:line="240" w:lineRule="auto"/>
            </w:pPr>
            <w:r>
              <w:rPr>
                <w:sz w:val="20"/>
                <w:szCs w:val="20"/>
              </w:rPr>
              <w:t xml:space="preserve">switch-200V-Tutorial-6.03</w:t>
            </w:r>
          </w:p>
        </w:tc>
        <w:tc>
          <w:tcPr>
            <w:tcW w:w="2707" w:type="dxa"/>
          </w:tcPr>
          <w:p>
            <w:pPr>
              <w:spacing w:after="0" w:line="240" w:lineRule="auto"/>
            </w:pPr>
            <w:r>
              <w:rPr>
                <w:sz w:val="20"/>
                <w:szCs w:val="20"/>
              </w:rPr>
              <w:t xml:space="preserve">192.168.122.15/22</w:t>
            </w:r>
          </w:p>
        </w:tc>
        <w:tc>
          <w:tcPr>
            <w:tcW w:w="2709" w:type="dxa"/>
          </w:tcPr>
          <w:p>
            <w:pPr>
              <w:spacing w:after="0" w:line="240" w:lineRule="auto"/>
            </w:pPr>
            <w:r>
              <w:rPr>
                <w:sz w:val="20"/>
                <w:szCs w:val="20"/>
              </w:rPr>
              <w:t xml:space="preserve">10.21.0.24/24</w:t>
            </w:r>
          </w:p>
        </w:tc>
      </w:tr>
      <w:tr>
        <w:trPr>
          <w:cantSplit/>
        </w:trPr>
        <w:tc>
          <w:tcPr>
            <w:tcW w:w="3610" w:type="dxa"/>
          </w:tcPr>
          <w:p>
            <w:pPr>
              <w:spacing w:after="0" w:line="240" w:lineRule="auto"/>
            </w:pPr>
            <w:r>
              <w:rPr>
                <w:sz w:val="20"/>
                <w:szCs w:val="20"/>
              </w:rPr>
              <w:t xml:space="preserve">switch-200V-8</w:t>
            </w:r>
          </w:p>
        </w:tc>
        <w:tc>
          <w:tcPr>
            <w:tcW w:w="2707" w:type="dxa"/>
          </w:tcPr>
          <w:p>
            <w:pPr>
              <w:spacing w:after="0" w:line="240" w:lineRule="auto"/>
            </w:pPr>
            <w:r>
              <w:rPr>
                <w:sz w:val="20"/>
                <w:szCs w:val="20"/>
              </w:rPr>
              <w:t xml:space="preserve">192.168.122.16/22</w:t>
            </w:r>
          </w:p>
        </w:tc>
        <w:tc>
          <w:tcPr>
            <w:tcW w:w="2709" w:type="dxa"/>
          </w:tcPr>
          <w:p>
            <w:pPr>
              <w:spacing w:after="0" w:line="240" w:lineRule="auto"/>
            </w:pPr>
            <w:r>
              <w:rPr>
                <w:sz w:val="20"/>
                <w:szCs w:val="20"/>
              </w:rPr>
              <w:t xml:space="preserve">10.21.0.25/24</w:t>
            </w:r>
          </w:p>
        </w:tc>
      </w:tr>
      <w:tr>
        <w:trPr>
          <w:cantSplit/>
        </w:trPr>
        <w:tc>
          <w:tcPr>
            <w:tcW w:w="3610" w:type="dxa"/>
          </w:tcPr>
          <w:p>
            <w:pPr>
              <w:spacing w:after="0" w:line="240" w:lineRule="auto"/>
            </w:pPr>
            <w:r>
              <w:rPr>
                <w:sz w:val="20"/>
                <w:szCs w:val="20"/>
              </w:rPr>
              <w:t xml:space="preserve">switch-200V-stack-lv4</w:t>
            </w:r>
          </w:p>
        </w:tc>
        <w:tc>
          <w:tcPr>
            <w:tcW w:w="2707" w:type="dxa"/>
          </w:tcPr>
          <w:p>
            <w:pPr>
              <w:spacing w:after="0" w:line="240" w:lineRule="auto"/>
            </w:pPr>
            <w:r>
              <w:rPr>
                <w:sz w:val="20"/>
                <w:szCs w:val="20"/>
              </w:rPr>
              <w:t xml:space="preserve">192.168.122.21/22</w:t>
            </w:r>
          </w:p>
        </w:tc>
        <w:tc>
          <w:tcPr>
            <w:tcW w:w="2709" w:type="dxa"/>
          </w:tcPr>
          <w:p>
            <w:pPr>
              <w:spacing w:after="0" w:line="240" w:lineRule="auto"/>
            </w:pPr>
            <w:r>
              <w:rPr>
                <w:sz w:val="20"/>
                <w:szCs w:val="20"/>
              </w:rPr>
              <w:t xml:space="preserve">10.21.0.26/24</w:t>
            </w:r>
          </w:p>
        </w:tc>
      </w:tr>
      <w:tr>
        <w:trPr>
          <w:cantSplit/>
        </w:trPr>
        <w:tc>
          <w:tcPr>
            <w:tcW w:w="3610" w:type="dxa"/>
          </w:tcPr>
          <w:p>
            <w:pPr>
              <w:spacing w:after="0" w:line="240" w:lineRule="auto"/>
            </w:pPr>
            <w:r>
              <w:rPr>
                <w:sz w:val="20"/>
                <w:szCs w:val="20"/>
              </w:rPr>
              <w:t xml:space="preserve">switch-200V-stack-lv3</w:t>
            </w:r>
          </w:p>
        </w:tc>
        <w:tc>
          <w:tcPr>
            <w:tcW w:w="2707" w:type="dxa"/>
          </w:tcPr>
          <w:p>
            <w:pPr>
              <w:spacing w:after="0" w:line="240" w:lineRule="auto"/>
            </w:pPr>
            <w:r>
              <w:rPr>
                <w:sz w:val="20"/>
                <w:szCs w:val="20"/>
              </w:rPr>
              <w:t xml:space="preserve">192.168.122.22/22</w:t>
            </w:r>
          </w:p>
        </w:tc>
        <w:tc>
          <w:tcPr>
            <w:tcW w:w="2709" w:type="dxa"/>
          </w:tcPr>
          <w:p>
            <w:pPr>
              <w:spacing w:after="0" w:line="240" w:lineRule="auto"/>
            </w:pPr>
            <w:r>
              <w:rPr>
                <w:sz w:val="20"/>
                <w:szCs w:val="20"/>
              </w:rPr>
              <w:t xml:space="preserve">10.21.0.27/24</w:t>
            </w:r>
          </w:p>
        </w:tc>
      </w:tr>
    </w:tbl>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527"/>
        <w:gridCol w:w="6499"/>
      </w:tblGrid>
      <w:tr>
        <w:trPr>
          <w:cantSplit/>
          <w:tblHeader/>
        </w:trPr>
        <w:tc>
          <w:tcPr>
            <w:tcW w:w="2527" w:type="dxa"/>
            <w:shd w:val="clear" w:color="auto" w:fill="D9D9D9"/>
          </w:tcPr>
          <w:p>
            <w:pPr>
              <w:spacing w:after="0" w:line="240" w:lineRule="auto"/>
            </w:pPr>
            <w:r>
              <w:rPr>
                <w:b/>
                <w:bCs/>
                <w:sz w:val="20"/>
                <w:szCs w:val="20"/>
              </w:rPr>
              <w:t xml:space="preserve">Item</w:t>
            </w:r>
          </w:p>
        </w:tc>
        <w:tc>
          <w:tcPr>
            <w:tcW w:w="6499" w:type="dxa"/>
            <w:shd w:val="clear" w:color="auto" w:fill="D9D9D9"/>
          </w:tcPr>
          <w:p>
            <w:pPr>
              <w:spacing w:after="0" w:line="240" w:lineRule="auto"/>
            </w:pPr>
            <w:r>
              <w:rPr>
                <w:b/>
                <w:bCs/>
                <w:sz w:val="20"/>
                <w:szCs w:val="20"/>
              </w:rPr>
              <w:t xml:space="preserve">Value</w:t>
            </w:r>
          </w:p>
        </w:tc>
      </w:tr>
      <w:tr>
        <w:trPr>
          <w:cantSplit/>
        </w:trPr>
        <w:tc>
          <w:tcPr>
            <w:tcW w:w="2527" w:type="dxa"/>
          </w:tcPr>
          <w:p>
            <w:pPr>
              <w:spacing w:after="0" w:line="240" w:lineRule="auto"/>
            </w:pPr>
            <w:r>
              <w:rPr>
                <w:sz w:val="20"/>
                <w:szCs w:val="20"/>
              </w:rPr>
              <w:t xml:space="preserve">Gateway</w:t>
            </w:r>
          </w:p>
        </w:tc>
        <w:tc>
          <w:tcPr>
            <w:tcW w:w="6499" w:type="dxa"/>
          </w:tcPr>
          <w:p>
            <w:pPr>
              <w:spacing w:after="0" w:line="240" w:lineRule="auto"/>
            </w:pPr>
            <w:r>
              <w:rPr>
                <w:sz w:val="20"/>
                <w:szCs w:val="20"/>
              </w:rPr>
              <w:t xml:space="preserve">10.21.0.1, interface ve 2000 on trinity200V-core (no ACL on VLAN 2000)</w:t>
            </w:r>
          </w:p>
        </w:tc>
      </w:tr>
      <w:tr>
        <w:trPr>
          <w:cantSplit/>
        </w:trPr>
        <w:tc>
          <w:tcPr>
            <w:tcW w:w="2527" w:type="dxa"/>
          </w:tcPr>
          <w:p>
            <w:pPr>
              <w:spacing w:after="0" w:line="240" w:lineRule="auto"/>
            </w:pPr>
            <w:r>
              <w:rPr>
                <w:sz w:val="20"/>
                <w:szCs w:val="20"/>
              </w:rPr>
              <w:t xml:space="preserve">Unchanged</w:t>
            </w:r>
          </w:p>
        </w:tc>
        <w:tc>
          <w:tcPr>
            <w:tcW w:w="6499" w:type="dxa"/>
          </w:tcPr>
          <w:p>
            <w:pPr>
              <w:spacing w:after="0" w:line="240" w:lineRule="auto"/>
            </w:pPr>
            <w:r>
              <w:rPr>
                <w:sz w:val="20"/>
                <w:szCs w:val="20"/>
              </w:rPr>
              <w:t xml:space="preserve">trinity200V-core (management stays on ve 1960, 10.20.8.2), VLANs, ports, ACLs, SmartZone active-list, SNMP and NTP settings</w:t>
            </w:r>
          </w:p>
        </w:tc>
      </w:tr>
      <w:tr>
        <w:trPr>
          <w:cantSplit/>
        </w:trPr>
        <w:tc>
          <w:tcPr>
            <w:tcW w:w="2527" w:type="dxa"/>
          </w:tcPr>
          <w:p>
            <w:pPr>
              <w:spacing w:after="0" w:line="240" w:lineRule="auto"/>
            </w:pPr>
            <w:r>
              <w:rPr>
                <w:sz w:val="20"/>
                <w:szCs w:val="20"/>
              </w:rPr>
              <w:t xml:space="preserve">Configuration file</w:t>
            </w:r>
          </w:p>
        </w:tc>
        <w:tc>
          <w:tcPr>
            <w:tcW w:w="6499" w:type="dxa"/>
          </w:tcPr>
          <w:p>
            <w:pPr>
              <w:spacing w:after="0" w:line="240" w:lineRule="auto"/>
            </w:pPr>
            <w:r>
              <w:rPr>
                <w:sz w:val="20"/>
                <w:szCs w:val="20"/>
              </w:rPr>
              <w:t xml:space="preserve">200V-mgmt-ve2000-ICX.txt (core pre-check; per switch: pre-check, add ve 2000, connect from the core, route and source-interface, verify, remove old address, rollback)</w:t>
            </w:r>
          </w:p>
        </w:tc>
      </w:tr>
    </w:tbl>
    <w:p>
      <w:pPr>
        <w:keepNext/>
        <w:spacing w:before="240" w:after="120"/>
      </w:pPr>
      <w:r>
        <w:rPr>
          <w:b/>
          <w:bCs/>
        </w:rPr>
        <w:t xml:space="preserve">Impact</w:t>
      </w:r>
    </w:p>
    <w:p>
      <w:pPr>
        <w:pStyle w:val="ListParagraph"/>
        <w:numPr>
          <w:ilvl w:val="0"/>
          <w:numId w:val="1"/>
        </w:numPr>
        <w:spacing w:after="60"/>
      </w:pPr>
      <w:r>
        <w:t xml:space="preserve">242 of the 267 ports were down on 16 October: no impact; a device plugged in later comes up on the new VLAN</w:t>
      </w:r>
    </w:p>
    <w:p>
      <w:pPr>
        <w:pStyle w:val="ListParagraph"/>
        <w:numPr>
          <w:ilvl w:val="0"/>
          <w:numId w:val="1"/>
        </w:numPr>
        <w:spacing w:after="60"/>
      </w:pPr>
      <w:r>
        <w:t xml:space="preserve">25 ports were up: staff devices on 1240 (10.9.9.x) and the three UPS cards on switch-200V-8. Each loses its connection for about 30 seconds while the port is bounced; staff devices then get a new address on 10.21.3.0/24 (VL-staff-wired-01)</w:t>
      </w:r>
    </w:p>
    <w:p>
      <w:pPr>
        <w:pStyle w:val="ListParagraph"/>
        <w:numPr>
          <w:ilvl w:val="0"/>
          <w:numId w:val="1"/>
        </w:numPr>
        <w:spacing w:after="60"/>
      </w:pPr>
      <w:r>
        <w:t xml:space="preserve">The three UPS cards (switch-200V-8 1/1/7 - 1/1/9, now 10.9.9.95 - .97) use DHCP: after the bounce they get new addresses on 10.21.0.0/24 (VL-netmgmt-01). Anything that monitors them by IP address needs updating</w:t>
      </w:r>
    </w:p>
    <w:p>
      <w:pPr>
        <w:pStyle w:val="ListParagraph"/>
        <w:numPr>
          <w:ilvl w:val="0"/>
          <w:numId w:val="1"/>
        </w:numPr>
        <w:spacing w:after="60"/>
      </w:pPr>
      <w:r>
        <w:t xml:space="preserve">Devices with a fixed 10.9.9.x address on the moved ports will not work on 2100 until they are set to DHCP</w:t>
      </w:r>
    </w:p>
    <w:p>
      <w:pPr>
        <w:pStyle w:val="ListParagraph"/>
        <w:numPr>
          <w:ilvl w:val="0"/>
          <w:numId w:val="1"/>
        </w:numPr>
        <w:spacing w:after="60"/>
      </w:pPr>
      <w:r>
        <w:t xml:space="preserve">Ports moved to VLAN 1 are unused; anything later plugged into them gets no network until the port is assigned a VLAN</w:t>
      </w:r>
    </w:p>
    <w:p>
      <w:pPr>
        <w:pStyle w:val="ListParagraph"/>
        <w:numPr>
          <w:ilvl w:val="0"/>
          <w:numId w:val="1"/>
        </w:numPr>
        <w:spacing w:after="60"/>
      </w:pPr>
      <w:r>
        <w:t xml:space="preserve">No uplink, wireless, AV, CCTV or building service is changed</w:t>
      </w:r>
    </w:p>
    <w:p>
      <w:pPr>
        <w:pStyle w:val="ListParagraph"/>
        <w:numPr>
          <w:ilvl w:val="0"/>
          <w:numId w:val="1"/>
        </w:numPr>
        <w:spacing w:after="60"/>
      </w:pPr>
      <w:r>
        <w:t xml:space="preserve">Part B: no impact on users or devices; only switch management traffic moves. Each switch's SmartZone connection drops and re-forms from its new address (up to 5 minutes), and a CLI session to the old 192.168.122.x address drops when the default route changes</w:t>
      </w:r>
    </w:p>
    <w:p>
      <w:pPr>
        <w:pStyle w:val="ListParagraph"/>
        <w:numPr>
          <w:ilvl w:val="0"/>
          <w:numId w:val="1"/>
        </w:numPr>
        <w:spacing w:after="60"/>
      </w:pPr>
      <w:r>
        <w:t xml:space="preserve">Part B: after the change the switches are managed on 10.21.0.20 - .27</w:t>
      </w:r>
    </w:p>
    <w:p>
      <w:pPr>
        <w:keepNext/>
        <w:spacing w:before="240" w:after="120"/>
      </w:pPr>
      <w:r>
        <w:rPr>
          <w:b/>
          <w:bCs/>
        </w:rPr>
        <w:t xml:space="preserve">Duration of impact</w:t>
      </w:r>
    </w:p>
    <w:p>
      <w:r>
        <w:t xml:space="preserve">About 30 seconds for each of the ports that are up, while it is bounced and spanning tree forwards on 2100. Part A takes about 1 hour to paste and verify across the eight switches. Part B has no user impact and takes about 10 minutes per switch, mostly waiting for SmartZone to reconnect (about 1.5 hours in total).</w:t>
      </w:r>
    </w:p>
    <w:p>
      <w:pPr>
        <w:keepNext/>
        <w:spacing w:before="240" w:after="120"/>
      </w:pPr>
      <w:r>
        <w:rPr>
          <w:b/>
          <w:bCs/>
        </w:rPr>
        <w:t xml:space="preserve">How Change implemented</w:t>
      </w:r>
    </w:p>
    <w:p>
      <w:r>
        <w:t xml:space="preserve">The change will be implemented by Alam Singh (Dycom) over SSH/telnet to each switch, using 200V-port-review-16oct-ICX.txt. For each switch the pre-check confirms the ports are still as exported on 16 October; the change removes the old untagged VLAN, adds 2100 untagged where required and removes the old tagged VLANs where required; ports that were up are bounced so their devices renew DHCP; the result is verified and saved. The same method was used for the 9 October cutover.</w:t>
      </w:r>
    </w:p>
    <w:p>
      <w:r>
        <w:t xml:space="preserve">Part B is implemented from a session on trinity200V-core. The core is directly connected to 10.21.0.0/24, so after the new address is added a telnet session from the core to 10.21.0.x keeps working while the switch's default route and management source are changed. switch-200V-Tutorial-6.03 is done first as a pilot.</w:t>
      </w:r>
    </w:p>
    <w:p>
      <w:pPr>
        <w:keepNext/>
        <w:spacing w:before="240" w:after="120"/>
      </w:pPr>
      <w:r>
        <w:rPr>
          <w:b/>
          <w:bCs/>
        </w:rPr>
        <w:t xml:space="preserve">Implementation steps</w:t>
      </w:r>
    </w:p>
    <w:p>
      <w:pPr>
        <w:pStyle w:val="ListParagraph"/>
        <w:numPr>
          <w:ilvl w:val="0"/>
          <w:numId w:val="4"/>
        </w:numPr>
        <w:spacing w:after="60"/>
      </w:pPr>
      <w:r>
        <w:t xml:space="preserve">Confirm the prerequisites below.</w:t>
      </w:r>
    </w:p>
    <w:p>
      <w:pPr>
        <w:pStyle w:val="ListParagraph"/>
        <w:numPr>
          <w:ilvl w:val="0"/>
          <w:numId w:val="4"/>
        </w:numPr>
        <w:spacing w:after="60"/>
      </w:pPr>
      <w:r>
        <w:t xml:space="preserve">For each switch in turn: paste the PRE-CHECK; check every listed port is still untagged in its 'now' VLAN. Leave out any port that has changed.</w:t>
      </w:r>
    </w:p>
    <w:p>
      <w:pPr>
        <w:pStyle w:val="ListParagraph"/>
        <w:numPr>
          <w:ilvl w:val="0"/>
          <w:numId w:val="4"/>
        </w:numPr>
        <w:spacing w:after="60"/>
      </w:pPr>
      <w:r>
        <w:t xml:space="preserve">Paste the CHANGE block.</w:t>
      </w:r>
    </w:p>
    <w:p>
      <w:pPr>
        <w:pStyle w:val="ListParagraph"/>
        <w:numPr>
          <w:ilvl w:val="0"/>
          <w:numId w:val="4"/>
        </w:numPr>
        <w:spacing w:after="60"/>
      </w:pPr>
      <w:r>
        <w:t xml:space="preserve">Paste PORT BOUNCE part 1, wait 10 seconds, paste part 2 (switches with ports that were up).</w:t>
      </w:r>
    </w:p>
    <w:p>
      <w:pPr>
        <w:pStyle w:val="ListParagraph"/>
        <w:numPr>
          <w:ilvl w:val="0"/>
          <w:numId w:val="4"/>
        </w:numPr>
        <w:spacing w:after="60"/>
      </w:pPr>
      <w:r>
        <w:t xml:space="preserve">Paste the VERIFY block; check the ports have left the old VLANs, the 2100 ports are untagged in 2100 and the bounced ports' MACs are learned again.</w:t>
      </w:r>
    </w:p>
    <w:p>
      <w:pPr>
        <w:pStyle w:val="ListParagraph"/>
        <w:numPr>
          <w:ilvl w:val="0"/>
          <w:numId w:val="4"/>
        </w:numPr>
        <w:spacing w:after="60"/>
      </w:pPr>
      <w:r>
        <w:t xml:space="preserve">write memory.</w:t>
      </w:r>
    </w:p>
    <w:p>
      <w:pPr>
        <w:pStyle w:val="ListParagraph"/>
        <w:numPr>
          <w:ilvl w:val="0"/>
          <w:numId w:val="4"/>
        </w:numPr>
        <w:spacing w:after="60"/>
      </w:pPr>
      <w:r>
        <w:t xml:space="preserve">Ask Trinity to test a staff device on one of the moved ports (for example lv6 3/1/6 or lv3 3/1/16).</w:t>
      </w:r>
    </w:p>
    <w:p>
      <w:pPr>
        <w:pStyle w:val="ListParagraph"/>
        <w:numPr>
          <w:ilvl w:val="0"/>
          <w:numId w:val="4"/>
        </w:numPr>
        <w:spacing w:after="60"/>
      </w:pPr>
      <w:r>
        <w:t xml:space="preserve">Part B: on trinity200V-core run the core PRE-CHECK; ping 10.21.0.20 - .27 must get no reply.</w:t>
      </w:r>
    </w:p>
    <w:p>
      <w:pPr>
        <w:pStyle w:val="ListParagraph"/>
        <w:numPr>
          <w:ilvl w:val="0"/>
          <w:numId w:val="4"/>
        </w:numPr>
        <w:spacing w:after="60"/>
      </w:pPr>
      <w:r>
        <w:t xml:space="preserve">Part B, per switch (Tutorial-6.03 first): run the switch PRE-CHECK, then STEP 1 (add ve 2000) and ping 10.21.0.1.</w:t>
      </w:r>
    </w:p>
    <w:p>
      <w:pPr>
        <w:pStyle w:val="ListParagraph"/>
        <w:numPr>
          <w:ilvl w:val="0"/>
          <w:numId w:val="4"/>
        </w:numPr>
        <w:spacing w:after="60"/>
      </w:pPr>
      <w:r>
        <w:t xml:space="preserve">Part B: from trinity200V-core, telnet to the new address (STEP 2) and paste STEP 3 (default route via 10.21.0.1 and management source-interface ve 2000).</w:t>
      </w:r>
    </w:p>
    <w:p>
      <w:pPr>
        <w:pStyle w:val="ListParagraph"/>
        <w:numPr>
          <w:ilvl w:val="0"/>
          <w:numId w:val="4"/>
        </w:numPr>
        <w:spacing w:after="60"/>
      </w:pPr>
      <w:r>
        <w:t xml:space="preserve">Part B: VERIFY: one default route via 10.21.0.1, replies from 10.21.0.1, DNS and SmartZone, and show manager status connected; then write memory.</w:t>
      </w:r>
    </w:p>
    <w:p>
      <w:pPr>
        <w:pStyle w:val="ListParagraph"/>
        <w:numPr>
          <w:ilvl w:val="0"/>
          <w:numId w:val="4"/>
        </w:numPr>
        <w:spacing w:after="60"/>
      </w:pPr>
      <w:r>
        <w:t xml:space="preserve">Part B: when SmartZone shows the switch on its new address, paste STEP 4 to remove the 192.168.122.x address, check show ip interface lists only ve 2000, and write memory.</w:t>
      </w:r>
    </w:p>
    <w:p>
      <w:pPr>
        <w:keepNext/>
        <w:spacing w:before="240" w:after="120"/>
      </w:pPr>
      <w:r>
        <w:rPr>
          <w:b/>
          <w:bCs/>
        </w:rPr>
        <w:t xml:space="preserve">Prerequisites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026"/>
        <w:gridCol w:w="2000"/>
      </w:tblGrid>
      <w:tr>
        <w:trPr>
          <w:cantSplit/>
          <w:tblHeader/>
        </w:trPr>
        <w:tc>
          <w:tcPr>
            <w:tcW w:w="7026" w:type="dxa"/>
            <w:shd w:val="clear" w:color="auto" w:fill="D9D9D9"/>
          </w:tcPr>
          <w:p>
            <w:pPr>
              <w:spacing w:after="0" w:line="240" w:lineRule="auto"/>
            </w:pPr>
            <w:r>
              <w:rPr>
                <w:b/>
                <w:bCs/>
                <w:sz w:val="20"/>
                <w:szCs w:val="20"/>
              </w:rPr>
              <w:t xml:space="preserve">Prerequisite</w:t>
            </w:r>
          </w:p>
        </w:tc>
        <w:tc>
          <w:tcPr>
            <w:tcW w:w="2000" w:type="dxa"/>
            <w:shd w:val="clear" w:color="auto" w:fill="D9D9D9"/>
          </w:tcPr>
          <w:p>
            <w:pPr>
              <w:spacing w:after="0" w:line="240" w:lineRule="auto"/>
            </w:pPr>
            <w:r>
              <w:rPr>
                <w:b/>
                <w:bCs/>
                <w:sz w:val="20"/>
                <w:szCs w:val="20"/>
              </w:rPr>
              <w:t xml:space="preserve">Status</w:t>
            </w:r>
          </w:p>
        </w:tc>
      </w:tr>
      <w:tr>
        <w:trPr>
          <w:cantSplit/>
        </w:trPr>
        <w:tc>
          <w:tcPr>
            <w:tcW w:w="7026" w:type="dxa"/>
          </w:tcPr>
          <w:p>
            <w:pPr>
              <w:spacing w:after="0" w:line="240" w:lineRule="auto"/>
            </w:pPr>
            <w:r>
              <w:rPr>
                <w:sz w:val="20"/>
                <w:szCs w:val="20"/>
              </w:rPr>
              <w:t xml:space="preserve">Change approved</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Running configuration of the eight switches backed up (SmartZone backup or show running-config)</w:t>
            </w:r>
          </w:p>
        </w:tc>
        <w:tc>
          <w:tcPr>
            <w:tcW w:w="2000" w:type="dxa"/>
          </w:tcPr>
          <w:p>
            <w:pPr>
              <w:spacing w:after="0" w:line="240" w:lineRule="auto"/>
            </w:pPr>
            <w:r>
              <w:rPr>
                <w:sz w:val="20"/>
                <w:szCs w:val="20"/>
              </w:rPr>
              <w:t xml:space="preserve">Scheduled: Monday 26 October 2026, morning</w:t>
            </w:r>
          </w:p>
        </w:tc>
      </w:tr>
      <w:tr>
        <w:trPr>
          <w:cantSplit/>
        </w:trPr>
        <w:tc>
          <w:tcPr>
            <w:tcW w:w="7026" w:type="dxa"/>
          </w:tcPr>
          <w:p>
            <w:pPr>
              <w:spacing w:after="0" w:line="240" w:lineRule="auto"/>
            </w:pPr>
            <w:r>
              <w:rPr>
                <w:sz w:val="20"/>
                <w:szCs w:val="20"/>
              </w:rPr>
              <w:t xml:space="preserve">Port decisions agreed with Trinity (22 October): lv3 2/1/27, lv4 4/1/32 and lv4 5/1/19 (20:7B:D2 devices) to 2100; switch-200V-8 1/1/7 - 1/1/9 (UPS management cards, DHCP) to 2000; LT2-2 1/1/1 old VLANs removed, new VLANs 2000 - 2953 stay tagged; ports moved to VLAN 1 stay enabled</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VLAN 2100 present on every switch and tagged on its uplink (checked in the 16 October export)</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Part B: 10.21.0.20 - 10.21.0.27 excluded from the 10.21.0.0/24 DHCP scope on 10.20.16.10 / 10.20.16.11</w:t>
            </w:r>
          </w:p>
        </w:tc>
        <w:tc>
          <w:tcPr>
            <w:tcW w:w="2000" w:type="dxa"/>
          </w:tcPr>
          <w:p>
            <w:pPr>
              <w:spacing w:after="0" w:line="240" w:lineRule="auto"/>
            </w:pPr>
            <w:r>
              <w:rPr>
                <w:sz w:val="20"/>
                <w:szCs w:val="20"/>
              </w:rPr>
              <w:t xml:space="preserve">Complete (confirmed by Trinity 22 October)</w:t>
            </w:r>
          </w:p>
        </w:tc>
      </w:tr>
      <w:tr>
        <w:trPr>
          <w:cantSplit/>
        </w:trPr>
        <w:tc>
          <w:tcPr>
            <w:tcW w:w="7026" w:type="dxa"/>
          </w:tcPr>
          <w:p>
            <w:pPr>
              <w:spacing w:after="0" w:line="240" w:lineRule="auto"/>
            </w:pPr>
            <w:r>
              <w:rPr>
                <w:sz w:val="20"/>
                <w:szCs w:val="20"/>
              </w:rPr>
              <w:t xml:space="preserve">Part B: ntp1.trinity.unimelb.edu.au resolves and is reachable from 10.21.0.0/24</w:t>
            </w:r>
          </w:p>
        </w:tc>
        <w:tc>
          <w:tcPr>
            <w:tcW w:w="2000" w:type="dxa"/>
          </w:tcPr>
          <w:p>
            <w:pPr>
              <w:spacing w:after="0" w:line="240" w:lineRule="auto"/>
            </w:pPr>
            <w:r>
              <w:rPr>
                <w:sz w:val="20"/>
                <w:szCs w:val="20"/>
              </w:rPr>
              <w:t xml:space="preserve">Complete (checked 22 October)</w:t>
            </w:r>
          </w:p>
        </w:tc>
      </w:tr>
      <w:tr>
        <w:trPr>
          <w:cantSplit/>
        </w:trPr>
        <w:tc>
          <w:tcPr>
            <w:tcW w:w="7026" w:type="dxa"/>
          </w:tcPr>
          <w:p>
            <w:pPr>
              <w:spacing w:after="0" w:line="240" w:lineRule="auto"/>
            </w:pPr>
            <w:r>
              <w:rPr>
                <w:sz w:val="20"/>
                <w:szCs w:val="20"/>
              </w:rPr>
              <w:t xml:space="preserve">Part B: VLAN 2000 tagged on every switch uplink and ve 2000 10.21.0.1/24 on the core (checked in the 16 October export and the 12 October core configuration)</w:t>
            </w:r>
          </w:p>
        </w:tc>
        <w:tc>
          <w:tcPr>
            <w:tcW w:w="2000" w:type="dxa"/>
          </w:tcPr>
          <w:p>
            <w:pPr>
              <w:spacing w:after="0" w:line="240" w:lineRule="auto"/>
            </w:pPr>
            <w:r>
              <w:rPr>
                <w:sz w:val="20"/>
                <w:szCs w:val="20"/>
              </w:rPr>
              <w:t xml:space="preserve">Complete</w:t>
            </w:r>
          </w:p>
        </w:tc>
      </w:tr>
    </w:tbl>
    <w:p>
      <w:pPr>
        <w:keepNext/>
        <w:spacing w:before="240" w:after="120"/>
      </w:pPr>
      <w:r>
        <w:rPr>
          <w:b/>
          <w:bCs/>
        </w:rPr>
        <w:t xml:space="preserve">How rollback implemented</w:t>
      </w:r>
    </w:p>
    <w:p>
      <w:r>
        <w:t xml:space="preserve">Each switch has a ROLLBACK block in 200V-port-review-16oct-ICX.txt that puts every port back exactly as it was on 16 October (old untagged VLAN and old tagged VLANs). Paste it, bounce the ports that were up, and write memory. A single port can be rolled back by pasting only its lines.</w:t>
      </w:r>
    </w:p>
    <w:p>
      <w:r>
        <w:t xml:space="preserve">Part B: each switch has a ROLLBACK block in 200V-mgmt-ve2000-ICX.txt, pasted from the core-hop session. It puts back the 192.168.122.x address on ve 100, the default route via 192.168.120.1 and the original management source; then, from a session to the old address, the ve 2000 address is removed.</w:t>
      </w:r>
    </w:p>
    <w:p>
      <w:pPr>
        <w:keepNext/>
        <w:spacing w:before="240" w:after="120"/>
      </w:pPr>
      <w:r>
        <w:rPr>
          <w:b/>
          <w:bCs/>
        </w:rPr>
        <w:t xml:space="preserve">Roll back if</w:t>
      </w:r>
    </w:p>
    <w:p>
      <w:pPr>
        <w:pStyle w:val="ListParagraph"/>
        <w:numPr>
          <w:ilvl w:val="0"/>
          <w:numId w:val="1"/>
        </w:numPr>
        <w:spacing w:after="60"/>
      </w:pPr>
      <w:r>
        <w:t xml:space="preserve">a staff device on a moved port does not get an address on 10.21.3.0/24 within a few minutes of the bounce</w:t>
      </w:r>
    </w:p>
    <w:p>
      <w:pPr>
        <w:pStyle w:val="ListParagraph"/>
        <w:numPr>
          <w:ilvl w:val="0"/>
          <w:numId w:val="1"/>
        </w:numPr>
        <w:spacing w:after="60"/>
      </w:pPr>
      <w:r>
        <w:t xml:space="preserve">a device that is not expected stops working, such as one on a port that had a different device to the export</w:t>
      </w:r>
    </w:p>
    <w:p>
      <w:pPr>
        <w:pStyle w:val="ListParagraph"/>
        <w:numPr>
          <w:ilvl w:val="0"/>
          <w:numId w:val="1"/>
        </w:numPr>
        <w:spacing w:after="60"/>
      </w:pPr>
      <w:r>
        <w:t xml:space="preserve">Trinity asks for a rollback</w:t>
      </w:r>
    </w:p>
    <w:p>
      <w:pPr>
        <w:pStyle w:val="ListParagraph"/>
        <w:numPr>
          <w:ilvl w:val="0"/>
          <w:numId w:val="1"/>
        </w:numPr>
        <w:spacing w:after="60"/>
      </w:pPr>
      <w:r>
        <w:t xml:space="preserve">Part B: a switch does not reconnect to SmartZone from its new address within 10 minutes, or cannot reach 10.21.0.1</w:t>
      </w:r>
    </w:p>
    <w:p>
      <w:pPr>
        <w:keepNext/>
        <w:spacing w:before="240" w:after="120"/>
      </w:pPr>
      <w:r>
        <w:rPr>
          <w:b/>
          <w:bCs/>
        </w:rPr>
        <w:t xml:space="preserve">How change tested</w:t>
      </w:r>
    </w:p>
    <w:p>
      <w:pPr>
        <w:pStyle w:val="ListParagraph"/>
        <w:numPr>
          <w:ilvl w:val="0"/>
          <w:numId w:val="1"/>
        </w:numPr>
        <w:spacing w:after="60"/>
      </w:pPr>
      <w:r>
        <w:t xml:space="preserve">show vlan for each old VLAN no longer lists the changed ports</w:t>
      </w:r>
    </w:p>
    <w:p>
      <w:pPr>
        <w:pStyle w:val="ListParagraph"/>
        <w:numPr>
          <w:ilvl w:val="0"/>
          <w:numId w:val="1"/>
        </w:numPr>
        <w:spacing w:after="60"/>
      </w:pPr>
      <w:r>
        <w:t xml:space="preserve">show vlan 2100 lists the ports moved to 2100 as untagged</w:t>
      </w:r>
    </w:p>
    <w:p>
      <w:pPr>
        <w:pStyle w:val="ListParagraph"/>
        <w:numPr>
          <w:ilvl w:val="0"/>
          <w:numId w:val="1"/>
        </w:numPr>
        <w:spacing w:after="60"/>
      </w:pPr>
      <w:r>
        <w:t xml:space="preserve">show mac-address ethernet &lt;port&gt; shows each bounced port's device learned on 2100</w:t>
      </w:r>
    </w:p>
    <w:p>
      <w:pPr>
        <w:pStyle w:val="ListParagraph"/>
        <w:numPr>
          <w:ilvl w:val="0"/>
          <w:numId w:val="1"/>
        </w:numPr>
        <w:spacing w:after="60"/>
      </w:pPr>
      <w:r>
        <w:t xml:space="preserve">A staff device on a moved port gets a 10.21.3.x address and reaches its services</w:t>
      </w:r>
    </w:p>
    <w:p>
      <w:pPr>
        <w:pStyle w:val="ListParagraph"/>
        <w:numPr>
          <w:ilvl w:val="0"/>
          <w:numId w:val="1"/>
        </w:numPr>
        <w:spacing w:after="60"/>
      </w:pPr>
      <w:r>
        <w:t xml:space="preserve">Part B: show ip interface lists only ve 2000 (10.21.0.x); show ip route has one default route via 10.21.0.1; show running-config shows management source-interface ve 2000 protocol all</w:t>
      </w:r>
    </w:p>
    <w:p>
      <w:pPr>
        <w:pStyle w:val="ListParagraph"/>
        <w:numPr>
          <w:ilvl w:val="0"/>
          <w:numId w:val="1"/>
        </w:numPr>
        <w:spacing w:after="60"/>
      </w:pPr>
      <w:r>
        <w:t xml:space="preserve">Part B: SmartZone shows all eight switches online with their 10.21.0.x address</w:t>
      </w:r>
    </w:p>
    <w:p>
      <w:pPr>
        <w:pStyle w:val="ListParagraph"/>
        <w:numPr>
          <w:ilvl w:val="0"/>
          <w:numId w:val="1"/>
        </w:numPr>
        <w:spacing w:after="60"/>
      </w:pPr>
      <w:r>
        <w:t xml:space="preserve">Part B: show ntp associations shows the NTP server reachable</w:t>
      </w:r>
    </w:p>
    <w:p>
      <w:pPr>
        <w:keepNext/>
        <w:spacing w:before="240" w:after="120"/>
      </w:pPr>
      <w:r>
        <w:rPr>
          <w:b/>
          <w:bCs/>
        </w:rPr>
        <w:t xml:space="preserve">Risks of implementing</w:t>
      </w:r>
    </w:p>
    <w:p>
      <w:pPr>
        <w:pStyle w:val="ListParagraph"/>
        <w:numPr>
          <w:ilvl w:val="0"/>
          <w:numId w:val="5"/>
        </w:numPr>
        <w:spacing w:after="60"/>
      </w:pPr>
      <w:r>
        <w:t xml:space="preserve">If a port has changed since the 16 October export, then the wrong device could be moved. This has low likelihood because the pre-check is run first. If this risk occurs, roll back that port.</w:t>
      </w:r>
    </w:p>
    <w:p>
      <w:pPr>
        <w:pStyle w:val="ListParagraph"/>
        <w:numPr>
          <w:ilvl w:val="0"/>
          <w:numId w:val="5"/>
        </w:numPr>
        <w:spacing w:after="60"/>
      </w:pPr>
      <w:r>
        <w:t xml:space="preserve">If a device on a port moved to 2100 has a fixed 10.9.9.x address, then it loses its connection. This has low likelihood (the devices seen are staff devices on DHCP). If this risk occurs, set the device to DHCP or roll back the port.</w:t>
      </w:r>
    </w:p>
    <w:p>
      <w:pPr>
        <w:pStyle w:val="ListParagraph"/>
        <w:numPr>
          <w:ilvl w:val="0"/>
          <w:numId w:val="5"/>
        </w:numPr>
        <w:spacing w:after="60"/>
      </w:pPr>
      <w:r>
        <w:t xml:space="preserve">If the UPS cards do not renew DHCP after the port bounce, then they keep their old 10.9.9.x address and cannot be reached. This has low likelihood because the bounce drops the link. If this risk occurs, bounce the port again or power cycle the card's network module.</w:t>
      </w:r>
    </w:p>
    <w:p>
      <w:pPr>
        <w:pStyle w:val="ListParagraph"/>
        <w:numPr>
          <w:ilvl w:val="0"/>
          <w:numId w:val="5"/>
        </w:numPr>
        <w:spacing w:after="60"/>
      </w:pPr>
      <w:r>
        <w:t xml:space="preserve">If a port moved to VLAN 1 is needed by a device that was switched off on 16 October (for example an AV device), then that device gets no network when it is turned on. This has low likelihood because no MAC was seen on these ports in the export. If this risk occurs, assign the port its VLAN (2700 for AV).</w:t>
      </w:r>
    </w:p>
    <w:p>
      <w:pPr>
        <w:pStyle w:val="ListParagraph"/>
        <w:numPr>
          <w:ilvl w:val="0"/>
          <w:numId w:val="5"/>
        </w:numPr>
        <w:spacing w:after="60"/>
      </w:pPr>
      <w:r>
        <w:t xml:space="preserve">If a paste is cut short, then some ports are left half changed. This has low likelihood because each switch is verified. If this risk occurs, paste the missing lines again.</w:t>
      </w:r>
    </w:p>
    <w:p>
      <w:pPr>
        <w:pStyle w:val="ListParagraph"/>
        <w:numPr>
          <w:ilvl w:val="0"/>
          <w:numId w:val="5"/>
        </w:numPr>
        <w:spacing w:after="60"/>
      </w:pPr>
      <w:r>
        <w:t xml:space="preserve">Part B: if a switch's new address cannot reach 10.21.0.1 (VLAN 2000 not carried end to end), then the switch loses management when the default route changes. This has low likelihood because STEP 1 tests the ping before STEP 3. If this risk occurs, the old session is still open: paste the ROLLBACK.</w:t>
      </w:r>
    </w:p>
    <w:p>
      <w:pPr>
        <w:pStyle w:val="ListParagraph"/>
        <w:numPr>
          <w:ilvl w:val="0"/>
          <w:numId w:val="5"/>
        </w:numPr>
        <w:spacing w:after="60"/>
      </w:pPr>
      <w:r>
        <w:t xml:space="preserve">Part B: while both ve 100 and ve 2000 have an address the switch can route between 192.168.120.0/22 and 10.21.0.0/24. This has low likelihood of use and lasts only until STEP 4.</w:t>
      </w:r>
    </w:p>
    <w:p>
      <w:pPr>
        <w:keepNext/>
        <w:spacing w:before="240" w:after="120"/>
      </w:pPr>
      <w:r>
        <w:rPr>
          <w:b/>
          <w:bCs/>
        </w:rPr>
        <w:t xml:space="preserve">Suggested Scheduling</w:t>
      </w:r>
    </w:p>
    <w:p>
      <w:r>
        <w:t xml:space="preserve">Change window: Monday 26 October 2026, 6:00 pm to 7:00 pm, after the switch backups taken that morning.</w:t>
      </w:r>
    </w:p>
    <w:p>
      <w:r>
        <w:t xml:space="preserve">Part A (port clean-up) is done first and takes about 1 hour across the eight switches, so it fills the window. Order: lv6 (144 ports), lv4, lv3, then the smaller switches. Part B (management to VLAN 2000) takes about 1.5 hours and has no user impact: start it in the window only if Part A finishes early (pilot Tutorial-6.03 first), otherwise schedule it separately, in business hours if preferred.</w:t>
      </w:r>
    </w:p>
    <w:p>
      <w:r>
        <w:br w:type="page"/>
      </w:r>
    </w:p>
    <w:p>
      <w:pPr>
        <w:keepNext/>
        <w:spacing w:before="240" w:after="120"/>
      </w:pPr>
      <w:r>
        <w:rPr>
          <w:b/>
          <w:bCs/>
        </w:rPr>
        <w:t xml:space="preserve">Appendix A – Affected ports</w:t>
      </w:r>
    </w:p>
    <w:p>
      <w:r>
        <w:t xml:space="preserve">All ports from column Q of the 16 October export with a change. 'Tagged off' lists the tagged VLANs that are removed. Notes show the decisions of 22 October that change column Q.</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166"/>
        <w:gridCol w:w="902"/>
        <w:gridCol w:w="2256"/>
        <w:gridCol w:w="1173"/>
        <w:gridCol w:w="2529"/>
      </w:tblGrid>
      <w:tr>
        <w:trPr>
          <w:cantSplit/>
          <w:tblHeader/>
        </w:trPr>
        <w:tc>
          <w:tcPr>
            <w:tcW w:w="2166" w:type="dxa"/>
            <w:shd w:val="clear" w:color="auto" w:fill="D9D9D9"/>
          </w:tcPr>
          <w:p>
            <w:pPr>
              <w:spacing w:after="0" w:line="240" w:lineRule="auto"/>
            </w:pPr>
            <w:r>
              <w:rPr>
                <w:b/>
                <w:bCs/>
                <w:sz w:val="20"/>
                <w:szCs w:val="20"/>
              </w:rPr>
              <w:t xml:space="preserve">Switch</w:t>
            </w:r>
          </w:p>
        </w:tc>
        <w:tc>
          <w:tcPr>
            <w:tcW w:w="902" w:type="dxa"/>
            <w:shd w:val="clear" w:color="auto" w:fill="D9D9D9"/>
          </w:tcPr>
          <w:p>
            <w:pPr>
              <w:spacing w:after="0" w:line="240" w:lineRule="auto"/>
            </w:pPr>
            <w:r>
              <w:rPr>
                <w:b/>
                <w:bCs/>
                <w:sz w:val="20"/>
                <w:szCs w:val="20"/>
              </w:rPr>
              <w:t xml:space="preserve">Port</w:t>
            </w:r>
          </w:p>
        </w:tc>
        <w:tc>
          <w:tcPr>
            <w:tcW w:w="2256" w:type="dxa"/>
            <w:shd w:val="clear" w:color="auto" w:fill="D9D9D9"/>
          </w:tcPr>
          <w:p>
            <w:pPr>
              <w:spacing w:after="0" w:line="240" w:lineRule="auto"/>
            </w:pPr>
            <w:r>
              <w:rPr>
                <w:b/>
                <w:bCs/>
                <w:sz w:val="20"/>
                <w:szCs w:val="20"/>
              </w:rPr>
              <w:t xml:space="preserve">Now (untagged [tagged off])</w:t>
            </w:r>
          </w:p>
        </w:tc>
        <w:tc>
          <w:tcPr>
            <w:tcW w:w="1173" w:type="dxa"/>
            <w:shd w:val="clear" w:color="auto" w:fill="D9D9D9"/>
          </w:tcPr>
          <w:p>
            <w:pPr>
              <w:spacing w:after="0" w:line="240" w:lineRule="auto"/>
            </w:pPr>
            <w:r>
              <w:rPr>
                <w:b/>
                <w:bCs/>
                <w:sz w:val="20"/>
                <w:szCs w:val="20"/>
              </w:rPr>
              <w:t xml:space="preserve">New untagged</w:t>
            </w:r>
          </w:p>
        </w:tc>
        <w:tc>
          <w:tcPr>
            <w:tcW w:w="2529" w:type="dxa"/>
            <w:shd w:val="clear" w:color="auto" w:fill="D9D9D9"/>
          </w:tcPr>
          <w:p>
            <w:pPr>
              <w:spacing w:after="0" w:line="240" w:lineRule="auto"/>
            </w:pPr>
            <w:r>
              <w:rPr>
                <w:b/>
                <w:bCs/>
                <w:sz w:val="20"/>
                <w:szCs w:val="20"/>
              </w:rPr>
              <w:t xml:space="preserve">16 Oct / note</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1/1/12</w:t>
            </w:r>
          </w:p>
        </w:tc>
        <w:tc>
          <w:tcPr>
            <w:tcW w:w="2256" w:type="dxa"/>
          </w:tcPr>
          <w:p>
            <w:pPr>
              <w:spacing w:after="0" w:line="240" w:lineRule="auto"/>
            </w:pPr>
            <w:r>
              <w:rPr>
                <w:sz w:val="20"/>
                <w:szCs w:val="20"/>
              </w:rPr>
              <w:t xml:space="preserve">100 [1212, 1213, 1230, 1240, 1250, 1271, 1272, 1273]</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1/1/34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2/1/14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2/1/24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2/1/27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item 1, Trinity 22 Oct: 20:7B:D2:30:98:C1 (200V3J14) to 2100</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2/1/34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1C:1A:DF:C2:51:C2</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A0:4A:5E:E7:D5:7C</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3/1/27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3/1/28</w:t>
            </w:r>
          </w:p>
        </w:tc>
        <w:tc>
          <w:tcPr>
            <w:tcW w:w="2256" w:type="dxa"/>
          </w:tcPr>
          <w:p>
            <w:pPr>
              <w:spacing w:after="0" w:line="240" w:lineRule="auto"/>
            </w:pPr>
            <w:r>
              <w:rPr>
                <w:sz w:val="20"/>
                <w:szCs w:val="20"/>
              </w:rPr>
              <w:t xml:space="preserve">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4/1/23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4/1/24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4/1/25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4/1/26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4/1/27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4/1/45</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5/1/5</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5/1/6</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5/1/13</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5/1/15</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5/1/20</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5/1/32</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stack-lv3</w:t>
            </w:r>
          </w:p>
        </w:tc>
        <w:tc>
          <w:tcPr>
            <w:tcW w:w="902" w:type="dxa"/>
          </w:tcPr>
          <w:p>
            <w:pPr>
              <w:spacing w:after="0" w:line="240" w:lineRule="auto"/>
            </w:pPr>
            <w:r>
              <w:rPr>
                <w:sz w:val="20"/>
                <w:szCs w:val="20"/>
              </w:rPr>
              <w:t xml:space="preserve">5/1/43</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1/1/8</w:t>
            </w:r>
          </w:p>
        </w:tc>
        <w:tc>
          <w:tcPr>
            <w:tcW w:w="2256" w:type="dxa"/>
          </w:tcPr>
          <w:p>
            <w:pPr>
              <w:spacing w:after="0" w:line="240" w:lineRule="auto"/>
            </w:pPr>
            <w:r>
              <w:rPr>
                <w:sz w:val="20"/>
                <w:szCs w:val="20"/>
              </w:rPr>
              <w:t xml:space="preserve">100 [1272, 1273, 2300, 2310, 2311, 2320, 2321, 2900]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1/1/17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1/1/32</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2/1/8</w:t>
            </w:r>
          </w:p>
        </w:tc>
        <w:tc>
          <w:tcPr>
            <w:tcW w:w="2256" w:type="dxa"/>
          </w:tcPr>
          <w:p>
            <w:pPr>
              <w:spacing w:after="0" w:line="240" w:lineRule="auto"/>
            </w:pPr>
            <w:r>
              <w:rPr>
                <w:sz w:val="20"/>
                <w:szCs w:val="20"/>
              </w:rPr>
              <w:t xml:space="preserve">1212</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2/1/18</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2/1/20</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A0:4A:5E:E7:35:43</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3/1/20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3/1/21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3/1/22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3/1/27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3/1/29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3/1/30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3/1/35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3/1/37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3/1/39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1C:1A:DF:C2:51:D3</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3/1/42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4C:C5:D9:CD:B4:CC</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3/1/43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3/1/45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3/1/47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3/1/48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4/1/1</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4/1/2</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4/1/10</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4/1/16</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4/1/17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4/1/27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4/1/28</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4/1/29</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4/1/31</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4/1/32</w:t>
            </w:r>
          </w:p>
        </w:tc>
        <w:tc>
          <w:tcPr>
            <w:tcW w:w="2256" w:type="dxa"/>
          </w:tcPr>
          <w:p>
            <w:pPr>
              <w:spacing w:after="0" w:line="240" w:lineRule="auto"/>
            </w:pPr>
            <w:r>
              <w:rPr>
                <w:sz w:val="20"/>
                <w:szCs w:val="20"/>
              </w:rPr>
              <w:t xml:space="preserve">1272</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item 1, Trinity 22 Oct: 20:7B:D2:30:99:15 (200V4H9) to 2100</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4/1/38</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4/1/39</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4/1/44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5/1/1</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5/1/2</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5/1/5</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5/1/14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5/1/16</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5/1/19</w:t>
            </w:r>
          </w:p>
        </w:tc>
        <w:tc>
          <w:tcPr>
            <w:tcW w:w="2256" w:type="dxa"/>
          </w:tcPr>
          <w:p>
            <w:pPr>
              <w:spacing w:after="0" w:line="240" w:lineRule="auto"/>
            </w:pPr>
            <w:r>
              <w:rPr>
                <w:sz w:val="20"/>
                <w:szCs w:val="20"/>
              </w:rPr>
              <w:t xml:space="preserve">1272</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item 1, Trinity 22 Oct: 20:7B:D2:30:99:25 (200V4I17) to 2100</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5/1/24</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5/1/26</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5/1/35</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5/1/38</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5/1/40</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5/1/43</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stack-lv4</w:t>
            </w:r>
          </w:p>
        </w:tc>
        <w:tc>
          <w:tcPr>
            <w:tcW w:w="902" w:type="dxa"/>
          </w:tcPr>
          <w:p>
            <w:pPr>
              <w:spacing w:after="0" w:line="240" w:lineRule="auto"/>
            </w:pPr>
            <w:r>
              <w:rPr>
                <w:sz w:val="20"/>
                <w:szCs w:val="20"/>
              </w:rPr>
              <w:t xml:space="preserve">5/1/47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1/1/1</w:t>
            </w:r>
          </w:p>
        </w:tc>
        <w:tc>
          <w:tcPr>
            <w:tcW w:w="2256" w:type="dxa"/>
          </w:tcPr>
          <w:p>
            <w:pPr>
              <w:spacing w:after="0" w:line="240" w:lineRule="auto"/>
            </w:pPr>
            <w:r>
              <w:rPr>
                <w:sz w:val="20"/>
                <w:szCs w:val="20"/>
              </w:rPr>
              <w:t xml:space="preserve">1240 [1230, 1250, 1271,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1/1/2</w:t>
            </w:r>
          </w:p>
        </w:tc>
        <w:tc>
          <w:tcPr>
            <w:tcW w:w="2256" w:type="dxa"/>
          </w:tcPr>
          <w:p>
            <w:pPr>
              <w:spacing w:after="0" w:line="240" w:lineRule="auto"/>
            </w:pPr>
            <w:r>
              <w:rPr>
                <w:sz w:val="20"/>
                <w:szCs w:val="20"/>
              </w:rPr>
              <w:t xml:space="preserve">1240 [1230, 1250, 1271,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w:t>
            </w:r>
          </w:p>
        </w:tc>
        <w:tc>
          <w:tcPr>
            <w:tcW w:w="2256" w:type="dxa"/>
          </w:tcPr>
          <w:p>
            <w:pPr>
              <w:spacing w:after="0" w:line="240" w:lineRule="auto"/>
            </w:pPr>
            <w:r>
              <w:rPr>
                <w:sz w:val="20"/>
                <w:szCs w:val="20"/>
              </w:rPr>
              <w:t xml:space="preserve">1240 [1230, 1250, 1271,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1/1/5</w:t>
            </w:r>
          </w:p>
        </w:tc>
        <w:tc>
          <w:tcPr>
            <w:tcW w:w="2256" w:type="dxa"/>
          </w:tcPr>
          <w:p>
            <w:pPr>
              <w:spacing w:after="0" w:line="240" w:lineRule="auto"/>
            </w:pPr>
            <w:r>
              <w:rPr>
                <w:sz w:val="20"/>
                <w:szCs w:val="20"/>
              </w:rPr>
              <w:t xml:space="preserve">1240 [1230, 1250, 1271,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1/1/7</w:t>
            </w:r>
          </w:p>
        </w:tc>
        <w:tc>
          <w:tcPr>
            <w:tcW w:w="2256" w:type="dxa"/>
          </w:tcPr>
          <w:p>
            <w:pPr>
              <w:spacing w:after="0" w:line="240" w:lineRule="auto"/>
            </w:pPr>
            <w:r>
              <w:rPr>
                <w:sz w:val="20"/>
                <w:szCs w:val="20"/>
              </w:rPr>
              <w:t xml:space="preserve">1240 [1230, 1250, 1271,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1/1/11</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1/1/12</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1/1/30</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1/1/32</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1C:1A:DF:C2:4F:5E</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1/1/33</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1/1/34</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1/1/35</w:t>
            </w:r>
          </w:p>
        </w:tc>
        <w:tc>
          <w:tcPr>
            <w:tcW w:w="2256" w:type="dxa"/>
          </w:tcPr>
          <w:p>
            <w:pPr>
              <w:spacing w:after="0" w:line="240" w:lineRule="auto"/>
            </w:pPr>
            <w:r>
              <w:rPr>
                <w:sz w:val="20"/>
                <w:szCs w:val="20"/>
              </w:rPr>
              <w:t xml:space="preserve">100 [1212, 1213, 1230, 1240, 1250, 1271, 1272, 1273]</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1/1/36</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1/1/41</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1/1/42</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1/1/43</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A0:4A:5E:E7:E8:70</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1/1/44</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1/1/45</w:t>
            </w:r>
          </w:p>
        </w:tc>
        <w:tc>
          <w:tcPr>
            <w:tcW w:w="2256" w:type="dxa"/>
          </w:tcPr>
          <w:p>
            <w:pPr>
              <w:spacing w:after="0" w:line="240" w:lineRule="auto"/>
            </w:pPr>
            <w:r>
              <w:rPr>
                <w:sz w:val="20"/>
                <w:szCs w:val="20"/>
              </w:rPr>
              <w:t xml:space="preserve">1240 [1272]</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1/1/46</w:t>
            </w:r>
          </w:p>
        </w:tc>
        <w:tc>
          <w:tcPr>
            <w:tcW w:w="2256" w:type="dxa"/>
          </w:tcPr>
          <w:p>
            <w:pPr>
              <w:spacing w:after="0" w:line="240" w:lineRule="auto"/>
            </w:pPr>
            <w:r>
              <w:rPr>
                <w:sz w:val="20"/>
                <w:szCs w:val="20"/>
              </w:rPr>
              <w:t xml:space="preserve">1240 [1272,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1/1/47</w:t>
            </w:r>
          </w:p>
        </w:tc>
        <w:tc>
          <w:tcPr>
            <w:tcW w:w="2256" w:type="dxa"/>
          </w:tcPr>
          <w:p>
            <w:pPr>
              <w:spacing w:after="0" w:line="240" w:lineRule="auto"/>
            </w:pPr>
            <w:r>
              <w:rPr>
                <w:sz w:val="20"/>
                <w:szCs w:val="20"/>
              </w:rPr>
              <w:t xml:space="preserve">1240 [1273]</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1/1/48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1C:1A:DF:C2:51:28</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2/1/48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3/1/2</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1C:1A:DF:C2:51:01</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1C:1A:DF:C0:98:69</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3/1/21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3/1/22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1C:1A:DF:C0:9A:AB</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3/1/23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4/1/2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4/1/3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4/1/7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4/1/9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1C:1A:DF:C2:51:DF</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1C:1A:DF:C0:9A:52</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1C:1A:DF:C2:50:05</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5/1/29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5/1/35</w:t>
            </w:r>
          </w:p>
        </w:tc>
        <w:tc>
          <w:tcPr>
            <w:tcW w:w="2256" w:type="dxa"/>
          </w:tcPr>
          <w:p>
            <w:pPr>
              <w:spacing w:after="0" w:line="240" w:lineRule="auto"/>
            </w:pPr>
            <w:r>
              <w:rPr>
                <w:sz w:val="20"/>
                <w:szCs w:val="20"/>
              </w:rPr>
              <w:t xml:space="preserve">100 [230, 1212, 1213, 1230, 1250, 1271, 1272, 1273]</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5/1/39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4C:C5:D9:D0:8D:23</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1C:1A:DF:C2:45:3F</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5/1/47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6/1/19</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6/1/21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6/1/23</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6/1/25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6/1/29</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6/1/32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6/1/33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6/1/36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6/1/37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6/1/42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6/1/43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6/1/44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6/1/47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6/1/48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7/1/7</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7/1/20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7/1/21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7/1/25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7/1/26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7/1/29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7/1/36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7/1/37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7/1/38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7/1/39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7/1/41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7/1/42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7/1/45</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7/1/46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7/1/47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stack-lv6</w:t>
            </w:r>
          </w:p>
        </w:tc>
        <w:tc>
          <w:tcPr>
            <w:tcW w:w="902" w:type="dxa"/>
          </w:tcPr>
          <w:p>
            <w:pPr>
              <w:spacing w:after="0" w:line="240" w:lineRule="auto"/>
            </w:pPr>
            <w:r>
              <w:rPr>
                <w:sz w:val="20"/>
                <w:szCs w:val="20"/>
              </w:rPr>
              <w:t xml:space="preserve">7/1/48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LT2-1</w:t>
            </w:r>
          </w:p>
        </w:tc>
        <w:tc>
          <w:tcPr>
            <w:tcW w:w="902" w:type="dxa"/>
          </w:tcPr>
          <w:p>
            <w:pPr>
              <w:spacing w:after="0" w:line="240" w:lineRule="auto"/>
            </w:pPr>
            <w:r>
              <w:rPr>
                <w:sz w:val="20"/>
                <w:szCs w:val="20"/>
              </w:rPr>
              <w:t xml:space="preserve">1/1/2</w:t>
            </w:r>
          </w:p>
        </w:tc>
        <w:tc>
          <w:tcPr>
            <w:tcW w:w="2256" w:type="dxa"/>
          </w:tcPr>
          <w:p>
            <w:pPr>
              <w:spacing w:after="0" w:line="240" w:lineRule="auto"/>
            </w:pPr>
            <w:r>
              <w:rPr>
                <w:sz w:val="20"/>
                <w:szCs w:val="20"/>
              </w:rPr>
              <w:t xml:space="preserve">100 [1212, 1213, 1230, 1240, 1250, 1271, 1272, 1273]</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LT2-1</w:t>
            </w:r>
          </w:p>
        </w:tc>
        <w:tc>
          <w:tcPr>
            <w:tcW w:w="902" w:type="dxa"/>
          </w:tcPr>
          <w:p>
            <w:pPr>
              <w:spacing w:after="0" w:line="240" w:lineRule="auto"/>
            </w:pPr>
            <w:r>
              <w:rPr>
                <w:sz w:val="20"/>
                <w:szCs w:val="20"/>
              </w:rPr>
              <w:t xml:space="preserve">1/1/3</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LT2-1</w:t>
            </w:r>
          </w:p>
        </w:tc>
        <w:tc>
          <w:tcPr>
            <w:tcW w:w="902" w:type="dxa"/>
          </w:tcPr>
          <w:p>
            <w:pPr>
              <w:spacing w:after="0" w:line="240" w:lineRule="auto"/>
            </w:pPr>
            <w:r>
              <w:rPr>
                <w:sz w:val="20"/>
                <w:szCs w:val="20"/>
              </w:rPr>
              <w:t xml:space="preserve">1/1/19</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LT2-1</w:t>
            </w:r>
          </w:p>
        </w:tc>
        <w:tc>
          <w:tcPr>
            <w:tcW w:w="902" w:type="dxa"/>
          </w:tcPr>
          <w:p>
            <w:pPr>
              <w:spacing w:after="0" w:line="240" w:lineRule="auto"/>
            </w:pPr>
            <w:r>
              <w:rPr>
                <w:sz w:val="20"/>
                <w:szCs w:val="20"/>
              </w:rPr>
              <w:t xml:space="preserve">1/1/21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48:21:0B:56:AC:A4</w:t>
            </w:r>
          </w:p>
        </w:tc>
      </w:tr>
      <w:tr>
        <w:trPr>
          <w:cantSplit/>
        </w:trPr>
        <w:tc>
          <w:tcPr>
            <w:tcW w:w="2166" w:type="dxa"/>
          </w:tcPr>
          <w:p>
            <w:pPr>
              <w:spacing w:after="0" w:line="240" w:lineRule="auto"/>
            </w:pPr>
            <w:r>
              <w:rPr>
                <w:sz w:val="20"/>
                <w:szCs w:val="20"/>
              </w:rPr>
              <w:t xml:space="preserve">LT2-1</w:t>
            </w:r>
          </w:p>
        </w:tc>
        <w:tc>
          <w:tcPr>
            <w:tcW w:w="902" w:type="dxa"/>
          </w:tcPr>
          <w:p>
            <w:pPr>
              <w:spacing w:after="0" w:line="240" w:lineRule="auto"/>
            </w:pPr>
            <w:r>
              <w:rPr>
                <w:sz w:val="20"/>
                <w:szCs w:val="20"/>
              </w:rPr>
              <w:t xml:space="preserve">1/1/22</w:t>
            </w:r>
          </w:p>
        </w:tc>
        <w:tc>
          <w:tcPr>
            <w:tcW w:w="2256" w:type="dxa"/>
          </w:tcPr>
          <w:p>
            <w:pPr>
              <w:spacing w:after="0" w:line="240" w:lineRule="auto"/>
            </w:pPr>
            <w:r>
              <w:rPr>
                <w:sz w:val="20"/>
                <w:szCs w:val="20"/>
              </w:rPr>
              <w:t xml:space="preserve">1230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1/1/1</w:t>
            </w:r>
          </w:p>
        </w:tc>
        <w:tc>
          <w:tcPr>
            <w:tcW w:w="2256" w:type="dxa"/>
          </w:tcPr>
          <w:p>
            <w:pPr>
              <w:spacing w:after="0" w:line="240" w:lineRule="auto"/>
            </w:pPr>
            <w:r>
              <w:rPr>
                <w:sz w:val="20"/>
                <w:szCs w:val="20"/>
              </w:rPr>
              <w:t xml:space="preserve">1240 [1212, 1213, 1230, 1250, 1271, 1272, 1273]</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item 3, decision 22 Oct: remove old VLANs only. Port becomes tagged-only with 2000 - 2953 (no untagged VLAN)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1/1/6</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LT2-2</w:t>
            </w:r>
          </w:p>
        </w:tc>
        <w:tc>
          <w:tcPr>
            <w:tcW w:w="902" w:type="dxa"/>
          </w:tcPr>
          <w:p>
            <w:pPr>
              <w:spacing w:after="0" w:line="240" w:lineRule="auto"/>
            </w:pPr>
            <w:r>
              <w:rPr>
                <w:sz w:val="20"/>
                <w:szCs w:val="20"/>
              </w:rPr>
              <w:t xml:space="preserve">1/1/11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1/1/1</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1/1/2</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1/1/3</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1/1/5</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1/1/6</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1/1/7</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1/1/8</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1/1/9</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1/1/10</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LT2-3</w:t>
            </w:r>
          </w:p>
        </w:tc>
        <w:tc>
          <w:tcPr>
            <w:tcW w:w="902" w:type="dxa"/>
          </w:tcPr>
          <w:p>
            <w:pPr>
              <w:spacing w:after="0" w:line="240" w:lineRule="auto"/>
            </w:pPr>
            <w:r>
              <w:rPr>
                <w:sz w:val="20"/>
                <w:szCs w:val="20"/>
              </w:rPr>
              <w:t xml:space="preserve">1/1/11</w:t>
            </w:r>
          </w:p>
        </w:tc>
        <w:tc>
          <w:tcPr>
            <w:tcW w:w="2256" w:type="dxa"/>
          </w:tcPr>
          <w:p>
            <w:pPr>
              <w:spacing w:after="0" w:line="240" w:lineRule="auto"/>
            </w:pPr>
            <w:r>
              <w:rPr>
                <w:sz w:val="20"/>
                <w:szCs w:val="20"/>
              </w:rPr>
              <w:t xml:space="preserve">1240 [100]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Tutorial-6.03</w:t>
            </w:r>
          </w:p>
        </w:tc>
        <w:tc>
          <w:tcPr>
            <w:tcW w:w="902" w:type="dxa"/>
          </w:tcPr>
          <w:p>
            <w:pPr>
              <w:spacing w:after="0" w:line="240" w:lineRule="auto"/>
            </w:pPr>
            <w:r>
              <w:rPr>
                <w:sz w:val="20"/>
                <w:szCs w:val="20"/>
              </w:rPr>
              <w:t xml:space="preserve">1/1/11</w:t>
            </w:r>
          </w:p>
        </w:tc>
        <w:tc>
          <w:tcPr>
            <w:tcW w:w="2256" w:type="dxa"/>
          </w:tcPr>
          <w:p>
            <w:pPr>
              <w:spacing w:after="0" w:line="240" w:lineRule="auto"/>
            </w:pPr>
            <w:r>
              <w:rPr>
                <w:sz w:val="20"/>
                <w:szCs w:val="20"/>
              </w:rPr>
              <w:t xml:space="preserve">100</w:t>
            </w:r>
          </w:p>
        </w:tc>
        <w:tc>
          <w:tcPr>
            <w:tcW w:w="1173" w:type="dxa"/>
          </w:tcPr>
          <w:p>
            <w:pPr>
              <w:spacing w:after="0" w:line="240" w:lineRule="auto"/>
            </w:pPr>
            <w:r>
              <w:rPr>
                <w:sz w:val="20"/>
                <w:szCs w:val="20"/>
              </w:rPr>
              <w:t xml:space="preserve">1 (default)</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1/1/2</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1/1/3</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1C:1A:DF:C0:99:7F</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1/1/4</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1/1/5</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Up, AC:B4:80:F1:61:27</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1/1/7</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2000</w:t>
            </w:r>
          </w:p>
        </w:tc>
        <w:tc>
          <w:tcPr>
            <w:tcW w:w="2529" w:type="dxa"/>
          </w:tcPr>
          <w:p>
            <w:pPr>
              <w:spacing w:after="0" w:line="240" w:lineRule="auto"/>
            </w:pPr>
            <w:r>
              <w:rPr>
                <w:sz w:val="20"/>
                <w:szCs w:val="20"/>
              </w:rPr>
              <w:t xml:space="preserve">item 2, Trinity 22 Oct: UPS card 00:09:F5:32:DB:15 to 2000</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1/1/8</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2000</w:t>
            </w:r>
          </w:p>
        </w:tc>
        <w:tc>
          <w:tcPr>
            <w:tcW w:w="2529" w:type="dxa"/>
          </w:tcPr>
          <w:p>
            <w:pPr>
              <w:spacing w:after="0" w:line="240" w:lineRule="auto"/>
            </w:pPr>
            <w:r>
              <w:rPr>
                <w:sz w:val="20"/>
                <w:szCs w:val="20"/>
              </w:rPr>
              <w:t xml:space="preserve">item 2, Trinity 22 Oct: UPS card 00:09:F5:32:DB:D1 to 2000</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1/1/9</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2000</w:t>
            </w:r>
          </w:p>
        </w:tc>
        <w:tc>
          <w:tcPr>
            <w:tcW w:w="2529" w:type="dxa"/>
          </w:tcPr>
          <w:p>
            <w:pPr>
              <w:spacing w:after="0" w:line="240" w:lineRule="auto"/>
            </w:pPr>
            <w:r>
              <w:rPr>
                <w:sz w:val="20"/>
                <w:szCs w:val="20"/>
              </w:rPr>
              <w:t xml:space="preserve">item 2, Trinity 22 Oct: UPS card 00:09:F5:32:DB:14 to 2000</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1/1/10</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r>
        <w:trPr>
          <w:cantSplit/>
        </w:trPr>
        <w:tc>
          <w:tcPr>
            <w:tcW w:w="2166" w:type="dxa"/>
          </w:tcPr>
          <w:p>
            <w:pPr>
              <w:spacing w:after="0" w:line="240" w:lineRule="auto"/>
            </w:pPr>
            <w:r>
              <w:rPr>
                <w:sz w:val="20"/>
                <w:szCs w:val="20"/>
              </w:rPr>
              <w:t xml:space="preserve">8</w:t>
            </w:r>
          </w:p>
        </w:tc>
        <w:tc>
          <w:tcPr>
            <w:tcW w:w="902" w:type="dxa"/>
          </w:tcPr>
          <w:p>
            <w:pPr>
              <w:spacing w:after="0" w:line="240" w:lineRule="auto"/>
            </w:pPr>
            <w:r>
              <w:rPr>
                <w:sz w:val="20"/>
                <w:szCs w:val="20"/>
              </w:rPr>
              <w:t xml:space="preserve">1/1/11</w:t>
            </w:r>
          </w:p>
        </w:tc>
        <w:tc>
          <w:tcPr>
            <w:tcW w:w="2256" w:type="dxa"/>
          </w:tcPr>
          <w:p>
            <w:pPr>
              <w:spacing w:after="0" w:line="240" w:lineRule="auto"/>
            </w:pPr>
            <w:r>
              <w:rPr>
                <w:sz w:val="20"/>
                <w:szCs w:val="20"/>
              </w:rPr>
              <w:t xml:space="preserve">1240</w:t>
            </w:r>
          </w:p>
        </w:tc>
        <w:tc>
          <w:tcPr>
            <w:tcW w:w="1173" w:type="dxa"/>
          </w:tcPr>
          <w:p>
            <w:pPr>
              <w:spacing w:after="0" w:line="240" w:lineRule="auto"/>
            </w:pPr>
            <w:r>
              <w:rPr>
                <w:sz w:val="20"/>
                <w:szCs w:val="20"/>
              </w:rPr>
              <w:t xml:space="preserve">2100</w:t>
            </w:r>
          </w:p>
        </w:tc>
        <w:tc>
          <w:tcPr>
            <w:tcW w:w="2529" w:type="dxa"/>
          </w:tcPr>
          <w:p>
            <w:pPr>
              <w:spacing w:after="0" w:line="240" w:lineRule="auto"/>
            </w:pPr>
            <w:r>
              <w:rPr>
                <w:sz w:val="20"/>
                <w:szCs w:val="20"/>
              </w:rPr>
              <w:t xml:space="preserve">Down</w:t>
            </w:r>
          </w:p>
        </w:tc>
      </w:tr>
    </w:tbl>
    <w:sectPr w:rsidR="000E2BC1" w:rsidRPr="000E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C1"/>
    <w:rsid w:val="000D67D3"/>
    <w:rsid w:val="000E2BC1"/>
    <w:rsid w:val="00301570"/>
    <w:rsid w:val="00361391"/>
    <w:rsid w:val="007A5AA3"/>
    <w:rsid w:val="007A75F2"/>
    <w:rsid w:val="00893F70"/>
    <w:rsid w:val="00F52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91C2"/>
  <w15:chartTrackingRefBased/>
  <w15:docId w15:val="{45DEAECC-929F-4CDC-A908-58C5EA7E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C1"/>
    <w:rPr>
      <w:rFonts w:eastAsiaTheme="majorEastAsia" w:cstheme="majorBidi"/>
      <w:color w:val="272727" w:themeColor="text1" w:themeTint="D8"/>
    </w:rPr>
  </w:style>
  <w:style w:type="paragraph" w:styleId="Title">
    <w:name w:val="Title"/>
    <w:basedOn w:val="Normal"/>
    <w:next w:val="Normal"/>
    <w:link w:val="TitleChar"/>
    <w:uiPriority w:val="10"/>
    <w:qFormat/>
    <w:rsid w:val="000E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C1"/>
    <w:pPr>
      <w:spacing w:before="160"/>
      <w:jc w:val="center"/>
    </w:pPr>
    <w:rPr>
      <w:i/>
      <w:iCs/>
      <w:color w:val="404040" w:themeColor="text1" w:themeTint="BF"/>
    </w:rPr>
  </w:style>
  <w:style w:type="character" w:customStyle="1" w:styleId="QuoteChar">
    <w:name w:val="Quote Char"/>
    <w:basedOn w:val="DefaultParagraphFont"/>
    <w:link w:val="Quote"/>
    <w:uiPriority w:val="29"/>
    <w:rsid w:val="000E2BC1"/>
    <w:rPr>
      <w:i/>
      <w:iCs/>
      <w:color w:val="404040" w:themeColor="text1" w:themeTint="BF"/>
    </w:rPr>
  </w:style>
  <w:style w:type="paragraph" w:styleId="ListParagraph">
    <w:name w:val="List Paragraph"/>
    <w:basedOn w:val="Normal"/>
    <w:uiPriority w:val="34"/>
    <w:qFormat/>
    <w:rsid w:val="000E2BC1"/>
    <w:pPr>
      <w:ind w:left="720"/>
      <w:contextualSpacing/>
    </w:pPr>
  </w:style>
  <w:style w:type="character" w:styleId="IntenseEmphasis">
    <w:name w:val="Intense Emphasis"/>
    <w:basedOn w:val="DefaultParagraphFont"/>
    <w:uiPriority w:val="21"/>
    <w:qFormat/>
    <w:rsid w:val="000E2BC1"/>
    <w:rPr>
      <w:i/>
      <w:iCs/>
      <w:color w:val="0F4761" w:themeColor="accent1" w:themeShade="BF"/>
    </w:rPr>
  </w:style>
  <w:style w:type="paragraph" w:styleId="IntenseQuote">
    <w:name w:val="Intense Quote"/>
    <w:basedOn w:val="Normal"/>
    <w:next w:val="Normal"/>
    <w:link w:val="IntenseQuoteChar"/>
    <w:uiPriority w:val="30"/>
    <w:qFormat/>
    <w:rsid w:val="000E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C1"/>
    <w:rPr>
      <w:i/>
      <w:iCs/>
      <w:color w:val="0F4761" w:themeColor="accent1" w:themeShade="BF"/>
    </w:rPr>
  </w:style>
  <w:style w:type="character" w:styleId="IntenseReference">
    <w:name w:val="Intense Reference"/>
    <w:basedOn w:val="DefaultParagraphFont"/>
    <w:uiPriority w:val="32"/>
    <w:qFormat/>
    <w:rsid w:val="000E2BC1"/>
    <w:rPr>
      <w:b/>
      <w:bCs/>
      <w:smallCaps/>
      <w:color w:val="0F4761" w:themeColor="accent1" w:themeShade="BF"/>
      <w:spacing w:val="5"/>
    </w:rPr>
  </w:style>
  <w:style w:type="character" w:styleId="Hyperlink">
    <w:name w:val="Hyperlink"/>
    <w:basedOn w:val="DefaultParagraphFont"/>
    <w:uiPriority w:val="99"/>
    <w:unhideWhenUsed/>
    <w:rsid w:val="000D67D3"/>
    <w:rPr>
      <w:color w:val="467886" w:themeColor="hyperlink"/>
      <w:u w:val="single"/>
    </w:rPr>
  </w:style>
  <w:style w:type="character" w:styleId="UnresolvedMention">
    <w:name w:val="Unresolved Mention"/>
    <w:basedOn w:val="DefaultParagraphFont"/>
    <w:uiPriority w:val="99"/>
    <w:semiHidden/>
    <w:unhideWhenUsed/>
    <w:rsid w:val="000D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600</Words>
  <Characters>3228</Characters>
  <Application>Microsoft Office Word</Application>
  <DocSecurity>0</DocSecurity>
  <Lines>116</Lines>
  <Paragraphs>14</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Alam Singh</dc:creator>
  <cp:keywords/>
  <dc:description/>
  <cp:lastModifiedBy>Alam Singh</cp:lastModifiedBy>
  <cp:revision>5</cp:revision>
  <dcterms:created xsi:type="dcterms:W3CDTF">2025-10-26T11:43:00Z</dcterms:created>
  <dcterms:modified xsi:type="dcterms:W3CDTF">2025-10-26T11:58:00Z</dcterms:modified>
  <dc:title>Trinity 200V Port Clean-up and Management Change</dc:title>
</cp:coreProperties>
</file>