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Done over a console cable on site</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(200V_w_wifi)</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 and others)</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apart from adding VLAN 2900 to the AP ports (see Wi-Fi below). The full device list is in Appendix A. Device addressing, DHCP, DNS, firewall rules and any device-side changes are outside the scope of this change. switch-200V-8, LT2-2 and LT2-3 have no listed devices and are not changed. Ports with no listed device, and devices not found on any switch, are tracked on the Review tab of 200V Device Port List.xlsx and are not part of this change.</w:t>
      </w:r>
    </w:p>
    <w:p>
      <w:pPr>
        <w:keepNext/>
        <w:spacing w:before="240" w:after="120"/>
      </w:pPr>
      <w:r>
        <w:rPr>
          <w:b/>
          <w:bCs/>
        </w:rPr>
        <w:t xml:space="preserve">Wi-Fi</w:t>
      </w:r>
    </w:p>
    <w:p>
      <w:r>
        <w:t xml:space="preserve">The 200V APs are moved to the new SSIDs in SmartZone in the same window. Trinity Wireless uses VLAN 2300, which is already tagged on the AP ports. Trinity Visitor and eduroam use VLAN 2900, which is not, so VLAN 2900 is added as a tagged VLAN on the 40 AP ports (lv3 1/1/1 to 1/1/11, lv4 1/1/1 to 1/1/11, lv6 1/1/13 to 1/1/29 and LT2-1 1/1/1) before the WLAN changeover. This only adds tagging and has no impact on the APs or their current SSIDs.</w:t>
      </w:r>
    </w:p>
    <w:p>
      <w:pPr>
        <w:keepNext/>
        <w:spacing w:before="240" w:after="120"/>
      </w:pPr>
      <w:r>
        <w:rPr>
          <w:b/>
          <w:bCs/>
        </w:rPr>
        <w:t xml:space="preserve">Impact</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Wi-Fi users at 200V reconnect to the new SSIDs when the WLANs are changed over in SmartZone</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on the five switches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w:t>
      </w:r>
    </w:p>
    <w:p>
      <w:pPr>
        <w:keepNext/>
        <w:spacing w:before="240" w:after="120"/>
      </w:pPr>
      <w:r>
        <w:rPr>
          <w:b/>
          <w:bCs/>
        </w:rPr>
        <w:t xml:space="preserve">How Change implemented</w:t>
      </w:r>
    </w:p>
    <w:p>
      <w:r>
        <w:t xml:space="preserve">The change will be implemented by Alam Singh (Dycom) over SSH to each switch, and over a console cable on site for switch-200V-Tutorial-6.03, which has no remote access,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6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2510, 2600, 2700 and 2800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Running-config backup of each switch taken (via SmartZone, 6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Console cable and on-site access arranged for switch-200V-Tutorial-6.03</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 The VLAN 2900 tagging on the AP ports can stay in place if the WLAN changeover is rolled back; it has no effect until an SSID uses it.</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 plus VLAN 2900 on the AP ports</w:t>
      </w:r>
    </w:p>
    <w:p>
      <w:pPr>
        <w:pStyle w:val="ListParagraph"/>
        <w:numPr>
          <w:ilvl w:val="0"/>
          <w:numId w:val="1"/>
        </w:numPr>
        <w:spacing w:after="60"/>
      </w:pPr>
      <w:r>
        <w:t xml:space="preserve">show mac-address vlan &lt;new VLAN&gt; lists the device's MAC on that port</w:t>
      </w:r>
    </w:p>
    <w:p>
      <w:r>
        <w:t xml:space="preserve">For Wi-Fi, after the WLAN changeover a test client on each new SSID gets an address on that SSID's subnet: Trinity Wireless on 10.21.8.0/21 (VLAN 2300), Trinity Visitor and eduroam on 10.21.29.0/24 (VLAN 2900).</w:t>
      </w:r>
    </w:p>
    <w:p>
      <w:r>
        <w:t xml:space="preserve">The change is complete when every device in Appendix A passes, the Wi-Fi test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last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VLAN 2900 is missing on an AP port, then Trinity Visitor and eduroam clients on that AP get no address. This has low likelihood because VLAN 2900 is added to all 40 AP ports and checked with show vlan 2900 before the WLAN changeover. If this risk occurs, VLAN 2900 is tagged on that port.</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Outage window: Friday 9 October 2026, 6:00 pm to Sunday 11 October 2026, 5:00 pm.</w:t>
      </w:r>
    </w:p>
    <w:p>
      <w:r>
        <w:t xml:space="preserve">All switch changes are made on Friday 9 October 2026 from 6:00 pm, so the other teams can start their work on Saturday morning. The system-max change and reload of each switch are done first, then the VLAN cutover on each switch in the order above. The SmartZone WLAN changeover for the 200V APs follows the switch changes in the same window.</w:t>
      </w:r>
    </w:p>
    <w:p>
      <w:r>
        <w:t xml:space="preserve">Note: the pilot (60 ports on lv3, lv4 and lv6) was completed and verified on Monday 5 October 2026.</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