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three UPS management cards move to VL-netmgmt-01 (2000); and old trunk (tagged) VLANs are removed from access ports where Trinity asked. Trinity's answers of 22 October to the review email are included. 267 ports are in this change.</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707"/>
        <w:gridCol w:w="1083"/>
        <w:gridCol w:w="1353"/>
        <w:gridCol w:w="1083"/>
        <w:gridCol w:w="1173"/>
        <w:gridCol w:w="1627"/>
      </w:tblGrid>
      <w:tr>
        <w:trPr>
          <w:cantSplit/>
          <w:tblHeader/>
        </w:trPr>
        <w:tc>
          <w:tcPr>
            <w:tcW w:w="2707" w:type="dxa"/>
            <w:shd w:val="clear" w:color="auto" w:fill="D9D9D9"/>
          </w:tcPr>
          <w:p>
            <w:pPr>
              <w:spacing w:after="0" w:line="240" w:lineRule="auto"/>
            </w:pPr>
            <w:r>
              <w:rPr>
                <w:b/>
                <w:bCs/>
                <w:sz w:val="16"/>
                <w:szCs w:val="16"/>
              </w:rPr>
              <w:t xml:space="preserve">Switch</w:t>
            </w:r>
          </w:p>
        </w:tc>
        <w:tc>
          <w:tcPr>
            <w:tcW w:w="1083" w:type="dxa"/>
            <w:shd w:val="clear" w:color="auto" w:fill="D9D9D9"/>
          </w:tcPr>
          <w:p>
            <w:pPr>
              <w:spacing w:after="0" w:line="240" w:lineRule="auto"/>
            </w:pPr>
            <w:r>
              <w:rPr>
                <w:b/>
                <w:bCs/>
                <w:sz w:val="16"/>
                <w:szCs w:val="16"/>
              </w:rPr>
              <w:t xml:space="preserve">To 2100</w:t>
            </w:r>
          </w:p>
        </w:tc>
        <w:tc>
          <w:tcPr>
            <w:tcW w:w="1353" w:type="dxa"/>
            <w:shd w:val="clear" w:color="auto" w:fill="D9D9D9"/>
          </w:tcPr>
          <w:p>
            <w:pPr>
              <w:spacing w:after="0" w:line="240" w:lineRule="auto"/>
            </w:pPr>
            <w:r>
              <w:rPr>
                <w:b/>
                <w:bCs/>
                <w:sz w:val="16"/>
                <w:szCs w:val="16"/>
              </w:rPr>
              <w:t xml:space="preserve">To 2100, tags off</w:t>
            </w:r>
          </w:p>
        </w:tc>
        <w:tc>
          <w:tcPr>
            <w:tcW w:w="1083" w:type="dxa"/>
            <w:shd w:val="clear" w:color="auto" w:fill="D9D9D9"/>
          </w:tcPr>
          <w:p>
            <w:pPr>
              <w:spacing w:after="0" w:line="240" w:lineRule="auto"/>
            </w:pPr>
            <w:r>
              <w:rPr>
                <w:b/>
                <w:bCs/>
                <w:sz w:val="16"/>
                <w:szCs w:val="16"/>
              </w:rPr>
              <w:t xml:space="preserve">To 2000</w:t>
            </w:r>
          </w:p>
        </w:tc>
        <w:tc>
          <w:tcPr>
            <w:tcW w:w="1173" w:type="dxa"/>
            <w:shd w:val="clear" w:color="auto" w:fill="D9D9D9"/>
          </w:tcPr>
          <w:p>
            <w:pPr>
              <w:spacing w:after="0" w:line="240" w:lineRule="auto"/>
            </w:pPr>
            <w:r>
              <w:rPr>
                <w:b/>
                <w:bCs/>
                <w:sz w:val="16"/>
                <w:szCs w:val="16"/>
              </w:rPr>
              <w:t xml:space="preserve">To VLAN 1</w:t>
            </w:r>
          </w:p>
        </w:tc>
        <w:tc>
          <w:tcPr>
            <w:tcW w:w="1627" w:type="dxa"/>
            <w:shd w:val="clear" w:color="auto" w:fill="D9D9D9"/>
          </w:tcPr>
          <w:p>
            <w:pPr>
              <w:spacing w:after="0" w:line="240" w:lineRule="auto"/>
            </w:pPr>
            <w:r>
              <w:rPr>
                <w:b/>
                <w:bCs/>
                <w:sz w:val="16"/>
                <w:szCs w:val="16"/>
              </w:rPr>
              <w:t xml:space="preserve">To VLAN 1, tags off</w:t>
            </w:r>
          </w:p>
        </w:tc>
      </w:tr>
      <w:tr>
        <w:trPr>
          <w:cantSplit/>
        </w:trPr>
        <w:tc>
          <w:tcPr>
            <w:tcW w:w="2707" w:type="dxa"/>
          </w:tcPr>
          <w:p>
            <w:pPr>
              <w:spacing w:after="0" w:line="240" w:lineRule="auto"/>
            </w:pPr>
            <w:r>
              <w:rPr>
                <w:sz w:val="16"/>
                <w:szCs w:val="16"/>
              </w:rPr>
              <w:t xml:space="preserve">switch-200V-stack-lv3</w:t>
            </w:r>
          </w:p>
        </w:tc>
        <w:tc>
          <w:tcPr>
            <w:tcW w:w="1083" w:type="dxa"/>
          </w:tcPr>
          <w:p>
            <w:pPr>
              <w:spacing w:after="0" w:line="240" w:lineRule="auto"/>
            </w:pPr>
            <w:r>
              <w:rPr>
                <w:sz w:val="16"/>
                <w:szCs w:val="16"/>
              </w:rPr>
              <w:t xml:space="preserve">16</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15</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switch-200V-stack-lv4</w:t>
            </w:r>
          </w:p>
        </w:tc>
        <w:tc>
          <w:tcPr>
            <w:tcW w:w="1083" w:type="dxa"/>
          </w:tcPr>
          <w:p>
            <w:pPr>
              <w:spacing w:after="0" w:line="240" w:lineRule="auto"/>
            </w:pPr>
            <w:r>
              <w:rPr>
                <w:sz w:val="16"/>
                <w:szCs w:val="16"/>
              </w:rPr>
              <w:t xml:space="preserve">23</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switch-200V-stack-lv6</w:t>
            </w:r>
          </w:p>
        </w:tc>
        <w:tc>
          <w:tcPr>
            <w:tcW w:w="1083" w:type="dxa"/>
          </w:tcPr>
          <w:p>
            <w:pPr>
              <w:spacing w:after="0" w:line="240" w:lineRule="auto"/>
            </w:pPr>
            <w:r>
              <w:rPr>
                <w:sz w:val="16"/>
                <w:szCs w:val="16"/>
              </w:rPr>
              <w:t xml:space="preserve">116</w:t>
            </w:r>
          </w:p>
        </w:tc>
        <w:tc>
          <w:tcPr>
            <w:tcW w:w="1353" w:type="dxa"/>
          </w:tcPr>
          <w:p>
            <w:pPr>
              <w:spacing w:after="0" w:line="240" w:lineRule="auto"/>
            </w:pPr>
            <w:r>
              <w:rPr>
                <w:sz w:val="16"/>
                <w:szCs w:val="16"/>
              </w:rPr>
              <w:t xml:space="preserve">19</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7</w:t>
            </w:r>
          </w:p>
        </w:tc>
        <w:tc>
          <w:tcPr>
            <w:tcW w:w="1627" w:type="dxa"/>
          </w:tcPr>
          <w:p>
            <w:pPr>
              <w:spacing w:after="0" w:line="240" w:lineRule="auto"/>
            </w:pPr>
            <w:r>
              <w:rPr>
                <w:sz w:val="16"/>
                <w:szCs w:val="16"/>
              </w:rPr>
              <w:t xml:space="preserve">2</w:t>
            </w:r>
          </w:p>
        </w:tc>
      </w:tr>
      <w:tr>
        <w:trPr>
          <w:cantSplit/>
        </w:trPr>
        <w:tc>
          <w:tcPr>
            <w:tcW w:w="2707" w:type="dxa"/>
          </w:tcPr>
          <w:p>
            <w:pPr>
              <w:spacing w:after="0" w:line="240" w:lineRule="auto"/>
            </w:pPr>
            <w:r>
              <w:rPr>
                <w:sz w:val="16"/>
                <w:szCs w:val="16"/>
              </w:rPr>
              <w:t xml:space="preserve">switch-200V-LT2-1</w:t>
            </w:r>
          </w:p>
        </w:tc>
        <w:tc>
          <w:tcPr>
            <w:tcW w:w="1083" w:type="dxa"/>
          </w:tcPr>
          <w:p>
            <w:pPr>
              <w:spacing w:after="0" w:line="240" w:lineRule="auto"/>
            </w:pPr>
            <w:r>
              <w:rPr>
                <w:sz w:val="16"/>
                <w:szCs w:val="16"/>
              </w:rPr>
              <w:t xml:space="preserve">1</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switch-200V-LT2-2</w:t>
            </w:r>
          </w:p>
        </w:tc>
        <w:tc>
          <w:tcPr>
            <w:tcW w:w="1083" w:type="dxa"/>
          </w:tcPr>
          <w:p>
            <w:pPr>
              <w:spacing w:after="0" w:line="240" w:lineRule="auto"/>
            </w:pPr>
            <w:r>
              <w:rPr>
                <w:sz w:val="16"/>
                <w:szCs w:val="16"/>
              </w:rPr>
              <w:t xml:space="preserve">10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10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switch-200V-Tutorial-6.03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switch-200V-8</w:t>
            </w:r>
          </w:p>
        </w:tc>
        <w:tc>
          <w:tcPr>
            <w:tcW w:w="1083" w:type="dxa"/>
          </w:tcPr>
          <w:p>
            <w:pPr>
              <w:spacing w:after="0" w:line="240" w:lineRule="auto"/>
            </w:pPr>
            <w:r>
              <w:rPr>
                <w:sz w:val="16"/>
                <w:szCs w:val="16"/>
              </w:rPr>
              <w:t xml:space="preserve">7</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Total</w:t>
            </w:r>
          </w:p>
        </w:tc>
        <w:tc>
          <w:tcPr>
            <w:tcW w:w="1083" w:type="dxa"/>
          </w:tcPr>
          <w:p>
            <w:pPr>
              <w:spacing w:after="0" w:line="240" w:lineRule="auto"/>
            </w:pPr>
            <w:r>
              <w:rPr>
                <w:sz w:val="16"/>
                <w:szCs w:val="16"/>
              </w:rPr>
              <w:t xml:space="preserve">173</w:t>
            </w:r>
          </w:p>
        </w:tc>
        <w:tc>
          <w:tcPr>
            <w:tcW w:w="1353" w:type="dxa"/>
          </w:tcPr>
          <w:p>
            <w:pPr>
              <w:spacing w:after="0" w:line="240" w:lineRule="auto"/>
            </w:pPr>
            <w:r>
              <w:rPr>
                <w:sz w:val="16"/>
                <w:szCs w:val="16"/>
              </w:rPr>
              <w:t xml:space="preserve">29</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56</w:t>
            </w:r>
          </w:p>
        </w:tc>
        <w:tc>
          <w:tcPr>
            <w:tcW w:w="1627" w:type="dxa"/>
          </w:tcPr>
          <w:p>
            <w:pPr>
              <w:spacing w:after="0" w:line="240" w:lineRule="auto"/>
            </w:pPr>
            <w:r>
              <w:rPr>
                <w:sz w:val="16"/>
                <w:szCs w:val="16"/>
              </w:rPr>
              <w:t xml:space="preserve">6</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242 of the 267 ports were down on 16 October: no impact; a device plugged in later comes up on the new VLAN</w:t>
      </w:r>
    </w:p>
    <w:p>
      <w:pPr>
        <w:pStyle w:val="ListParagraph"/>
        <w:numPr>
          <w:ilvl w:val="0"/>
          <w:numId w:val="1"/>
        </w:numPr>
        <w:spacing w:after="60"/>
      </w:pPr>
      <w:r>
        <w:t xml:space="preserve">25 ports were up: staff devices on 1240 (10.9.9.x) and the three UPS cards on switch-200V-8. Each loses its connection for about 30 seconds while the port is bounced; staff devices then get a new address on 10.21.3.0/24 (VL-staff-wired-01)</w:t>
      </w:r>
    </w:p>
    <w:p>
      <w:pPr>
        <w:pStyle w:val="ListParagraph"/>
        <w:numPr>
          <w:ilvl w:val="0"/>
          <w:numId w:val="1"/>
        </w:numPr>
        <w:spacing w:after="60"/>
      </w:pPr>
      <w:r>
        <w:t xml:space="preserve">The three UPS cards (switch-200V-8 1/1/7 - 1/1/9, now 10.9.9.95 - .97) use DHCP: after the bounce they get new addresses on 10.21.0.0/24 (VL-netmgmt-01). Anything that monitors them by IP address needs updating</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Scheduled: Monday 26 October 2026, morning</w:t>
            </w:r>
          </w:p>
        </w:tc>
      </w:tr>
      <w:tr>
        <w:trPr>
          <w:cantSplit/>
        </w:trPr>
        <w:tc>
          <w:tcPr>
            <w:tcW w:w="7026" w:type="dxa"/>
          </w:tcPr>
          <w:p>
            <w:pPr>
              <w:spacing w:after="0" w:line="240" w:lineRule="auto"/>
            </w:pPr>
            <w:r>
              <w:rPr>
                <w:sz w:val="20"/>
                <w:szCs w:val="20"/>
              </w:rPr>
              <w:t xml:space="preserve">Item 1: lv3 2/1/27, lv4 4/1/32 and lv4 5/1/19 have the last three 20:7B:D2 devices on them (seen 14 - 15 October). Trinity marked them default VLAN; Dycom proposes 2100 like the other 13 (decision of 9 October)</w:t>
            </w:r>
          </w:p>
        </w:tc>
        <w:tc>
          <w:tcPr>
            <w:tcW w:w="2000" w:type="dxa"/>
          </w:tcPr>
          <w:p>
            <w:pPr>
              <w:spacing w:after="0" w:line="240" w:lineRule="auto"/>
            </w:pPr>
            <w:r>
              <w:rPr>
                <w:sz w:val="20"/>
                <w:szCs w:val="20"/>
              </w:rPr>
              <w:t xml:space="preserve">Complete (Trinity 22 October: 2100)</w:t>
            </w:r>
          </w:p>
        </w:tc>
      </w:tr>
      <w:tr>
        <w:trPr>
          <w:cantSplit/>
        </w:trPr>
        <w:tc>
          <w:tcPr>
            <w:tcW w:w="7026" w:type="dxa"/>
          </w:tcPr>
          <w:p>
            <w:pPr>
              <w:spacing w:after="0" w:line="240" w:lineRule="auto"/>
            </w:pPr>
            <w:r>
              <w:rPr>
                <w:sz w:val="20"/>
                <w:szCs w:val="20"/>
              </w:rPr>
              <w:t xml:space="preserve">Item 2: switch-200V-8 1/1/7 - 1/1/9 (00:09:F5, same vendor as lv3/lv4 1/1/48 now on 2000). Trinity to confirm the device type, VLAN 2000 or 2100, and whether they have fixed addresses</w:t>
            </w:r>
          </w:p>
        </w:tc>
        <w:tc>
          <w:tcPr>
            <w:tcW w:w="2000" w:type="dxa"/>
          </w:tcPr>
          <w:p>
            <w:pPr>
              <w:spacing w:after="0" w:line="240" w:lineRule="auto"/>
            </w:pPr>
            <w:r>
              <w:rPr>
                <w:sz w:val="20"/>
                <w:szCs w:val="20"/>
              </w:rPr>
              <w:t xml:space="preserve">Complete (Trinity 22 October: UPS cards, 2000; the cards use DHCP)</w:t>
            </w:r>
          </w:p>
        </w:tc>
      </w:tr>
      <w:tr>
        <w:trPr>
          <w:cantSplit/>
        </w:trPr>
        <w:tc>
          <w:tcPr>
            <w:tcW w:w="7026" w:type="dxa"/>
          </w:tcPr>
          <w:p>
            <w:pPr>
              <w:spacing w:after="0" w:line="240" w:lineRule="auto"/>
            </w:pPr>
            <w:r>
              <w:rPr>
                <w:sz w:val="20"/>
                <w:szCs w:val="20"/>
              </w:rPr>
              <w:t xml:space="preserve">Item 3: LT2-2 1/1/1 is not the LT2-2 uplink (that is 1/1/12); decide what to remove</w:t>
            </w:r>
          </w:p>
        </w:tc>
        <w:tc>
          <w:tcPr>
            <w:tcW w:w="2000" w:type="dxa"/>
          </w:tcPr>
          <w:p>
            <w:pPr>
              <w:spacing w:after="0" w:line="240" w:lineRule="auto"/>
            </w:pPr>
            <w:r>
              <w:rPr>
                <w:sz w:val="20"/>
                <w:szCs w:val="20"/>
              </w:rPr>
              <w:t xml:space="preserve">Complete (22 October: remove the old VLANs only; the port stays a tagged-only trunk with 2000 - 2953)</w:t>
            </w:r>
          </w:p>
        </w:tc>
      </w:tr>
      <w:tr>
        <w:trPr>
          <w:cantSplit/>
        </w:trPr>
        <w:tc>
          <w:tcPr>
            <w:tcW w:w="7026" w:type="dxa"/>
          </w:tcPr>
          <w:p>
            <w:pPr>
              <w:spacing w:after="0" w:line="240" w:lineRule="auto"/>
            </w:pPr>
            <w:r>
              <w:rPr>
                <w:sz w:val="20"/>
                <w:szCs w:val="20"/>
              </w:rPr>
              <w:t xml:space="preserve">Ports moved to VLAN 1: stay enabled on VLAN 1, or also be disabled</w:t>
            </w:r>
          </w:p>
        </w:tc>
        <w:tc>
          <w:tcPr>
            <w:tcW w:w="2000" w:type="dxa"/>
          </w:tcPr>
          <w:p>
            <w:pPr>
              <w:spacing w:after="0" w:line="240" w:lineRule="auto"/>
            </w:pPr>
            <w:r>
              <w:rPr>
                <w:sz w:val="20"/>
                <w:szCs w:val="20"/>
              </w:rPr>
              <w:t xml:space="preserve">Complete (22 October: stay enabled on VLAN 1)</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Complete (confirmed by Trinity 22 October)</w:t>
            </w:r>
          </w:p>
        </w:tc>
      </w:tr>
      <w:tr>
        <w:trPr>
          <w:cantSplit/>
        </w:trPr>
        <w:tc>
          <w:tcPr>
            <w:tcW w:w="7026" w:type="dxa"/>
          </w:tcPr>
          <w:p>
            <w:pPr>
              <w:spacing w:after="0" w:line="240" w:lineRule="auto"/>
            </w:pPr>
            <w:r>
              <w:rPr>
                <w:sz w:val="20"/>
                <w:szCs w:val="20"/>
              </w:rPr>
              <w:t xml:space="preserve">Part B: ntp1.trinity.unimelb.edu.au resolves and is reachable from 10.21.0.0/24</w:t>
            </w:r>
          </w:p>
        </w:tc>
        <w:tc>
          <w:tcPr>
            <w:tcW w:w="2000" w:type="dxa"/>
          </w:tcPr>
          <w:p>
            <w:pPr>
              <w:spacing w:after="0" w:line="240" w:lineRule="auto"/>
            </w:pPr>
            <w:r>
              <w:rPr>
                <w:sz w:val="20"/>
                <w:szCs w:val="20"/>
              </w:rPr>
              <w:t xml:space="preserve">Complete (checked 22 October)</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the UPS cards do not renew DHCP after the port bounce, then they keep their old 10.9.9.x address and cannot be reached. This has low likelihood because the bounce drops the link. If this risk occurs, bounce the port again or power cycle the card's network module.</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Change window: Monday 26 October 2026, 6:00 pm to 7:00 pm, after the switch backups taken that morning.</w:t>
      </w:r>
    </w:p>
    <w:p>
      <w:r>
        <w:t xml:space="preserve">Part A (port clean-up) is done first and takes about 1 hour across the eight switches, so it fills the window. Order: lv6 (144 ports), lv4, lv3, then the smaller switches. Part B (management to VLAN 2000) takes about 1.5 hours and has no user impact: start it in the window only if Part A finishes early (pilot Tutorial-6.03 first), otherwise schedule it separately, in business hours if preferred.</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Notes show the decisions of 22 October that change column Q.</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20:7B:D2:30:98:C1 (200V3J14) to 2100</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20:7B:D2:30:99:15 (200V4H9) to 2100</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20:7B:D2:30:99:25 (200V4I17) to 2100</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item 3, decision 22 Oct: remove old VLANs only. Port becomes tagged-only with 2000 - 2953 (no untagged VLAN)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00:09:F5:32:DB:15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00:09:F5:32:DB:D1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00:09:F5:32:DB:14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