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Trinity's answers of 22 October to the review email are included. 266 ports are in this change now; 1 (LT2-2 1/1/1) waits for Trinity's answer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241 of the 266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now 10.9.9.95 - .97) use DHCP: after the bounce they get new addresses on 10.21.0.0/24 (VL-netmgmt-01). Anything that monitors them by IP address needs updating</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Scheduled: Monday 26 October 2026, morning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Complete (Trinity 22 October: 2100)</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Complete (Trinity 22 October: UPS cards, 2000; the cards use DHCP)</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Ports moved to VLAN 1: stay enabled on VLAN 1, or also be disabled</w:t>
            </w:r>
          </w:p>
        </w:tc>
        <w:tc>
          <w:tcPr>
            <w:tcW w:w="2000" w:type="dxa"/>
          </w:tcPr>
          <w:p>
            <w:pPr>
              <w:spacing w:after="0" w:line="240" w:lineRule="auto"/>
            </w:pPr>
            <w:r>
              <w:rPr>
                <w:sz w:val="20"/>
                <w:szCs w:val="20"/>
              </w:rPr>
              <w:t xml:space="preserve">Complete (22 October: stay enabled on VLAN 1)</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do not renew DHCP after the port bounce, then they keep their old 10.9.9.x address and cannot be reached. This has low likelihood because the bounce drops the link. If this risk occurs, bounce the port again or power cycle the card's network module.</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Change window: Monday 26 October 2026, 6:00 pm to 7:00 pm, after the switch backups taken that morning.</w:t>
      </w:r>
    </w:p>
    <w:p>
      <w:r>
        <w:t xml:space="preserve">Part A (port clean-up) is done first and takes about 1 hour across the eight switches, so it fills the window. Order: lv6 (144 ports), lv4, lv3, then the smaller switches. Part B (management to VLAN 2000) takes about 1.5 hours and has no user impact: start it in the window only if Part A finishes early (pilot Tutorial-6.03 first), otherwise schedule it separately, in business hours if preferred, once the SRX access decision is made. LT2-2 1/1/1 waits for Trinity's answer to item 3.</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00:09:F5:32:DB:15</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00:09:F5:32:DB:D1</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Up, 00:09:F5:32:DB:14</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