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1E3A8A"/>
          <w:sz w:val="44"/>
        </w:rPr>
        <w:t>Bone Fracture Detection &amp; Captioning System</w:t>
      </w:r>
    </w:p>
    <w:p>
      <w:pPr>
        <w:spacing w:after="280"/>
      </w:pPr>
      <w:r>
        <w:rPr>
          <w:rFonts w:ascii="Calibri" w:hAnsi="Calibri"/>
          <w:color w:val="64748B"/>
          <w:sz w:val="22"/>
        </w:rPr>
        <w:t>System Architecture Specification &amp; Technical Block Diagram Document</w:t>
      </w:r>
    </w:p>
    <w:p>
      <w:pPr>
        <w:pStyle w:val="Heading1"/>
        <w:spacing w:before="200"/>
      </w:pPr>
      <w:r>
        <w:t>1. Executive Summary &amp; Architectural Overview</w:t>
      </w:r>
    </w:p>
    <w:p>
      <w:pPr>
        <w:spacing w:line="276" w:lineRule="auto"/>
      </w:pPr>
      <w:r>
        <w:t>This engineering specification details the deep-learning bone fracture analysis platform. The solution combines multi-task deep convolutional representation learning (ResNet-50), dedicated spatial lesion localization (Faster R-CNN with MobileNetV3 Feature Pyramid Network), a zero-hallucination factual clinical captioning synthesizer, a high-throughput FastAPI REST microservice, and an interactive Streamlit diagnostic web dashboard.</w:t>
      </w:r>
    </w:p>
    <w:p>
      <w:pPr>
        <w:pStyle w:val="Heading1"/>
      </w:pPr>
      <w:r>
        <w:t>2. System Architecture Block Diagram</w:t>
      </w:r>
    </w:p>
    <w:p>
      <w:pPr>
        <w:spacing w:before="120" w:after="20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6217920" cy="427852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block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2785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Component Specifications &amp; Hyperparameters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color="auto" w:fill="1E3A8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2520"/>
            <w:shd w:val="clear" w:color="auto" w:fill="1E3A8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Base Architecture</w:t>
            </w:r>
          </w:p>
        </w:tc>
        <w:tc>
          <w:tcPr>
            <w:tcW w:type="dxa" w:w="2520"/>
            <w:shd w:val="clear" w:color="auto" w:fill="1E3A8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Loss / Objective Function</w:t>
            </w:r>
          </w:p>
        </w:tc>
        <w:tc>
          <w:tcPr>
            <w:tcW w:type="dxa" w:w="2520"/>
            <w:shd w:val="clear" w:color="auto" w:fill="1E3A8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Output Specification</w:t>
            </w:r>
          </w:p>
        </w:tc>
      </w:tr>
      <w:tr>
        <w:tc>
          <w:tcPr>
            <w:tcW w:type="dxa" w:w="2520"/>
            <w:shd w:val="clear" w:color="auto" w:fill="F8FAFC"/>
          </w:tcPr>
          <w:p>
            <w:pPr>
              <w:jc w:val="left"/>
            </w:pPr>
            <w:r>
              <w:rPr>
                <w:color w:val="1E293B"/>
                <w:sz w:val="17"/>
              </w:rPr>
              <w:t>Classifier Backbone</w:t>
            </w:r>
          </w:p>
        </w:tc>
        <w:tc>
          <w:tcPr>
            <w:tcW w:type="dxa" w:w="2520"/>
            <w:shd w:val="clear" w:color="auto" w:fill="F8FAFC"/>
          </w:tcPr>
          <w:p>
            <w:pPr>
              <w:jc w:val="left"/>
            </w:pPr>
            <w:r>
              <w:rPr>
                <w:color w:val="1E293B"/>
                <w:sz w:val="17"/>
              </w:rPr>
              <w:t>ResNet-50 (Stage 1 frozen, Stage 2 fine-tuned)</w:t>
            </w:r>
          </w:p>
        </w:tc>
        <w:tc>
          <w:tcPr>
            <w:tcW w:type="dxa" w:w="2520"/>
            <w:shd w:val="clear" w:color="auto" w:fill="F8FAFC"/>
          </w:tcPr>
          <w:p>
            <w:pPr>
              <w:jc w:val="left"/>
            </w:pPr>
            <w:r>
              <w:rPr>
                <w:color w:val="1E293B"/>
                <w:sz w:val="17"/>
              </w:rPr>
              <w:t>Transfer learning feature extractor</w:t>
            </w:r>
          </w:p>
        </w:tc>
        <w:tc>
          <w:tcPr>
            <w:tcW w:type="dxa" w:w="2520"/>
            <w:shd w:val="clear" w:color="auto" w:fill="F8FAFC"/>
          </w:tcPr>
          <w:p>
            <w:pPr>
              <w:jc w:val="left"/>
            </w:pPr>
            <w:r>
              <w:rPr>
                <w:color w:val="1E293B"/>
                <w:sz w:val="17"/>
              </w:rPr>
              <w:t>2,048-dim feature representation</w:t>
            </w:r>
          </w:p>
        </w:tc>
      </w:tr>
      <w:tr>
        <w:tc>
          <w:tcPr>
            <w:tcW w:type="dxa" w:w="2520"/>
            <w:shd w:val="clear" w:color="auto" w:fill="FFFFFF"/>
          </w:tcPr>
          <w:p>
            <w:pPr>
              <w:jc w:val="left"/>
            </w:pPr>
            <w:r>
              <w:rPr>
                <w:color w:val="1E293B"/>
                <w:sz w:val="17"/>
              </w:rPr>
              <w:t>Anatomical Head</w:t>
            </w:r>
          </w:p>
        </w:tc>
        <w:tc>
          <w:tcPr>
            <w:tcW w:type="dxa" w:w="2520"/>
            <w:shd w:val="clear" w:color="auto" w:fill="FFFFFF"/>
          </w:tcPr>
          <w:p>
            <w:pPr>
              <w:jc w:val="left"/>
            </w:pPr>
            <w:r>
              <w:rPr>
                <w:color w:val="1E293B"/>
                <w:sz w:val="17"/>
              </w:rPr>
              <w:t>2-Layer MLP (2048-&gt;512-&gt;7) + Dropout(0.3)</w:t>
            </w:r>
          </w:p>
        </w:tc>
        <w:tc>
          <w:tcPr>
            <w:tcW w:type="dxa" w:w="2520"/>
            <w:shd w:val="clear" w:color="auto" w:fill="FFFFFF"/>
          </w:tcPr>
          <w:p>
            <w:pPr>
              <w:jc w:val="left"/>
            </w:pPr>
            <w:r>
              <w:rPr>
                <w:color w:val="1E293B"/>
                <w:sz w:val="17"/>
              </w:rPr>
              <w:t>Multi-class Cross-Entropy Loss</w:t>
            </w:r>
          </w:p>
        </w:tc>
        <w:tc>
          <w:tcPr>
            <w:tcW w:type="dxa" w:w="2520"/>
            <w:shd w:val="clear" w:color="auto" w:fill="FFFFFF"/>
          </w:tcPr>
          <w:p>
            <w:pPr>
              <w:jc w:val="left"/>
            </w:pPr>
            <w:r>
              <w:rPr>
                <w:color w:val="1E293B"/>
                <w:sz w:val="17"/>
              </w:rPr>
              <w:t>7 classes (Arm, Foot, Hand, Lower leg, Thigh, pelvis, wrist)</w:t>
            </w:r>
          </w:p>
        </w:tc>
      </w:tr>
      <w:tr>
        <w:tc>
          <w:tcPr>
            <w:tcW w:type="dxa" w:w="2520"/>
            <w:shd w:val="clear" w:color="auto" w:fill="F8FAFC"/>
          </w:tcPr>
          <w:p>
            <w:pPr>
              <w:jc w:val="left"/>
            </w:pPr>
            <w:r>
              <w:rPr>
                <w:color w:val="1E293B"/>
                <w:sz w:val="17"/>
              </w:rPr>
              <w:t>Fracture Head</w:t>
            </w:r>
          </w:p>
        </w:tc>
        <w:tc>
          <w:tcPr>
            <w:tcW w:type="dxa" w:w="2520"/>
            <w:shd w:val="clear" w:color="auto" w:fill="F8FAFC"/>
          </w:tcPr>
          <w:p>
            <w:pPr>
              <w:jc w:val="left"/>
            </w:pPr>
            <w:r>
              <w:rPr>
                <w:color w:val="1E293B"/>
                <w:sz w:val="17"/>
              </w:rPr>
              <w:t>2-Layer MLP (2048-&gt;256-&gt;1) + Dropout(0.3)</w:t>
            </w:r>
          </w:p>
        </w:tc>
        <w:tc>
          <w:tcPr>
            <w:tcW w:type="dxa" w:w="2520"/>
            <w:shd w:val="clear" w:color="auto" w:fill="F8FAFC"/>
          </w:tcPr>
          <w:p>
            <w:pPr>
              <w:jc w:val="left"/>
            </w:pPr>
            <w:r>
              <w:rPr>
                <w:color w:val="1E293B"/>
                <w:sz w:val="17"/>
              </w:rPr>
              <w:t>BCEWithLogitsLoss (pos_weight = 2.438)</w:t>
            </w:r>
          </w:p>
        </w:tc>
        <w:tc>
          <w:tcPr>
            <w:tcW w:type="dxa" w:w="2520"/>
            <w:shd w:val="clear" w:color="auto" w:fill="F8FAFC"/>
          </w:tcPr>
          <w:p>
            <w:pPr>
              <w:jc w:val="left"/>
            </w:pPr>
            <w:r>
              <w:rPr>
                <w:color w:val="1E293B"/>
                <w:sz w:val="17"/>
              </w:rPr>
              <w:t>Fracture probability (Decision Threshold &gt;= 0.50)</w:t>
            </w:r>
          </w:p>
        </w:tc>
      </w:tr>
      <w:tr>
        <w:tc>
          <w:tcPr>
            <w:tcW w:type="dxa" w:w="2520"/>
            <w:shd w:val="clear" w:color="auto" w:fill="FFFFFF"/>
          </w:tcPr>
          <w:p>
            <w:pPr>
              <w:jc w:val="left"/>
            </w:pPr>
            <w:r>
              <w:rPr>
                <w:color w:val="1E293B"/>
                <w:sz w:val="17"/>
              </w:rPr>
              <w:t>Spatial Detector</w:t>
            </w:r>
          </w:p>
        </w:tc>
        <w:tc>
          <w:tcPr>
            <w:tcW w:type="dxa" w:w="2520"/>
            <w:shd w:val="clear" w:color="auto" w:fill="FFFFFF"/>
          </w:tcPr>
          <w:p>
            <w:pPr>
              <w:jc w:val="left"/>
            </w:pPr>
            <w:r>
              <w:rPr>
                <w:color w:val="1E293B"/>
                <w:sz w:val="17"/>
              </w:rPr>
              <w:t>Faster R-CNN (MobileNetV3-Large FPN)</w:t>
            </w:r>
          </w:p>
        </w:tc>
        <w:tc>
          <w:tcPr>
            <w:tcW w:type="dxa" w:w="2520"/>
            <w:shd w:val="clear" w:color="auto" w:fill="FFFFFF"/>
          </w:tcPr>
          <w:p>
            <w:pPr>
              <w:jc w:val="left"/>
            </w:pPr>
            <w:r>
              <w:rPr>
                <w:color w:val="1E293B"/>
                <w:sz w:val="17"/>
              </w:rPr>
              <w:t>RPN Loss + Fast R-CNN Box Regression</w:t>
            </w:r>
          </w:p>
        </w:tc>
        <w:tc>
          <w:tcPr>
            <w:tcW w:type="dxa" w:w="2520"/>
            <w:shd w:val="clear" w:color="auto" w:fill="FFFFFF"/>
          </w:tcPr>
          <w:p>
            <w:pPr>
              <w:jc w:val="left"/>
            </w:pPr>
            <w:r>
              <w:rPr>
                <w:color w:val="1E293B"/>
                <w:sz w:val="17"/>
              </w:rPr>
              <w:t>Bounding boxes [x1, y1, x2, y2] (Threshold &gt;= 0.10)</w:t>
            </w:r>
          </w:p>
        </w:tc>
      </w:tr>
      <w:tr>
        <w:tc>
          <w:tcPr>
            <w:tcW w:type="dxa" w:w="2520"/>
            <w:shd w:val="clear" w:color="auto" w:fill="F8FAFC"/>
          </w:tcPr>
          <w:p>
            <w:pPr>
              <w:jc w:val="left"/>
            </w:pPr>
            <w:r>
              <w:rPr>
                <w:color w:val="1E293B"/>
                <w:sz w:val="17"/>
              </w:rPr>
              <w:t>Caption Synthesizer</w:t>
            </w:r>
          </w:p>
        </w:tc>
        <w:tc>
          <w:tcPr>
            <w:tcW w:type="dxa" w:w="2520"/>
            <w:shd w:val="clear" w:color="auto" w:fill="F8FAFC"/>
          </w:tcPr>
          <w:p>
            <w:pPr>
              <w:jc w:val="left"/>
            </w:pPr>
            <w:r>
              <w:rPr>
                <w:color w:val="1E293B"/>
                <w:sz w:val="17"/>
              </w:rPr>
              <w:t>Deterministic rule engine template mapper</w:t>
            </w:r>
          </w:p>
        </w:tc>
        <w:tc>
          <w:tcPr>
            <w:tcW w:type="dxa" w:w="2520"/>
            <w:shd w:val="clear" w:color="auto" w:fill="F8FAFC"/>
          </w:tcPr>
          <w:p>
            <w:pPr>
              <w:jc w:val="left"/>
            </w:pPr>
            <w:r>
              <w:rPr>
                <w:color w:val="1E293B"/>
                <w:sz w:val="17"/>
              </w:rPr>
              <w:t>Structured output binding</w:t>
            </w:r>
          </w:p>
        </w:tc>
        <w:tc>
          <w:tcPr>
            <w:tcW w:type="dxa" w:w="2520"/>
            <w:shd w:val="clear" w:color="auto" w:fill="F8FAFC"/>
          </w:tcPr>
          <w:p>
            <w:pPr>
              <w:jc w:val="left"/>
            </w:pPr>
            <w:r>
              <w:rPr>
                <w:color w:val="1E293B"/>
                <w:sz w:val="17"/>
              </w:rPr>
              <w:t>Disciplined natural-language clinical description</w:t>
            </w:r>
          </w:p>
        </w:tc>
      </w:tr>
    </w:tbl>
    <w:p>
      <w:pPr>
        <w:pStyle w:val="Heading1"/>
      </w:pPr>
      <w:r>
        <w:t>4. How the Dashboard Works</w:t>
      </w:r>
    </w:p>
    <w:p>
      <w:pPr>
        <w:spacing w:before="60" w:after="60"/>
      </w:pPr>
      <w:r>
        <w:rPr>
          <w:b/>
          <w:color w:val="1E3A8A"/>
        </w:rPr>
        <w:t xml:space="preserve">• 1. Image Upload: </w:t>
      </w:r>
      <w:r>
        <w:rPr>
          <w:color w:val="334155"/>
        </w:rPr>
        <w:t>Doctor or radiologist uploads plain bone radiograph (PNG, JPG, BMP) into the drag-and-drop file uploader.</w:t>
      </w:r>
    </w:p>
    <w:p>
      <w:pPr>
        <w:spacing w:before="60" w:after="60"/>
      </w:pPr>
      <w:r>
        <w:rPr>
          <w:b/>
          <w:color w:val="1E3A8A"/>
        </w:rPr>
        <w:t xml:space="preserve">• 2. Real-Time In-Memory Dispatch: </w:t>
      </w:r>
      <w:r>
        <w:rPr>
          <w:color w:val="334155"/>
        </w:rPr>
        <w:t>Upon clicking 'Analyze X-ray', Streamlit sends raw bytes to FastAPI POST /predict without temporary file disk writes.</w:t>
      </w:r>
    </w:p>
    <w:p>
      <w:pPr>
        <w:spacing w:before="60" w:after="60"/>
      </w:pPr>
      <w:r>
        <w:rPr>
          <w:b/>
          <w:color w:val="1E3A8A"/>
        </w:rPr>
        <w:t xml:space="preserve">• 3. Multi-Task Deep Inference: </w:t>
      </w:r>
      <w:r>
        <w:rPr>
          <w:color w:val="334155"/>
        </w:rPr>
        <w:t>ResNet-50 simultaneously computes 7-class anatomical probability and weighted binary fracture probability.</w:t>
      </w:r>
    </w:p>
    <w:p>
      <w:pPr>
        <w:spacing w:before="60" w:after="60"/>
      </w:pPr>
      <w:r>
        <w:rPr>
          <w:b/>
          <w:color w:val="1E3A8A"/>
        </w:rPr>
        <w:t xml:space="preserve">• 4. Spatial Localization &amp; Overlay: </w:t>
      </w:r>
      <w:r>
        <w:rPr>
          <w:color w:val="334155"/>
        </w:rPr>
        <w:t>When fracture is confirmed, Faster R-CNN identifies cortical fracture borders and generates an annotated diagnostic visual overlay.</w:t>
      </w:r>
    </w:p>
    <w:p>
      <w:pPr>
        <w:spacing w:before="60" w:after="60"/>
      </w:pPr>
      <w:r>
        <w:rPr>
          <w:b/>
          <w:color w:val="1E3A8A"/>
        </w:rPr>
        <w:t xml:space="preserve">• 5. Factual Caption Synthesis: </w:t>
      </w:r>
      <w:r>
        <w:rPr>
          <w:color w:val="334155"/>
        </w:rPr>
        <w:t>The disciplined captioning engine synthesizes an explicit, non-hallucinatory description.</w:t>
      </w:r>
    </w:p>
    <w:p>
      <w:pPr>
        <w:spacing w:before="60" w:after="60"/>
      </w:pPr>
      <w:r>
        <w:rPr>
          <w:b/>
          <w:color w:val="1E3A8A"/>
        </w:rPr>
        <w:t xml:space="preserve">• 6. KPI Display &amp; Coordinate Inspection: </w:t>
      </w:r>
      <w:r>
        <w:rPr>
          <w:color w:val="334155"/>
        </w:rPr>
        <w:t>Dashboard presents three color-coded metric cards, natural language text, visual image overlay, and exact bounding box coordinate table.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