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业务系统</w:t>
      </w:r>
    </w:p>
    <w:p>
      <w:pPr>
        <w:pStyle w:val="Heading2"/>
      </w:pPr>
      <w:r>
        <w:t>学科大模型门户</w:t>
      </w:r>
    </w:p>
    <w:p>
      <w:pPr>
        <w:pStyle w:val="Heading3"/>
      </w:pPr>
      <w:r>
        <w:t>门户首页定制</w:t>
      </w:r>
    </w:p>
    <w:p>
      <w:pPr>
        <w:spacing w:line="360" w:lineRule="auto"/>
        <w:ind w:firstLine="420"/>
      </w:pPr>
      <w:r>
        <w:t>学科大模型应用门户系统，是教学与科研的统一入口，也是师生直达学科大模型的专属"门面"。它承载教学科研一体化服务，一键贯通课堂与实验室。门户支持"量身打造"：从命名、问候语到视觉、文案，均可深度植入学科基因，让每一像素都散发学科气质。更提供全套定制包——UI 主题、背景纹理、学科 Logo、模型昵称、IP 形象、介绍文案等，一站式配齐，只为打造你的"学科专属模型之家"。</w:t>
      </w:r>
    </w:p>
    <w:p>
      <w:pPr>
        <w:pStyle w:val="Heading3"/>
      </w:pPr>
      <w:r>
        <w:t>学科问答</w:t>
      </w:r>
    </w:p>
    <w:p>
      <w:pPr>
        <w:spacing w:line="360" w:lineRule="auto"/>
        <w:ind w:firstLine="420"/>
      </w:pPr>
      <w:r>
        <w:t>学科问答，提供专业化、体系化的学科知识问答服务，依托定制化学科大模型与结构化知识库，实现精准、深度的知识响应与智能问答支持。</w:t>
      </w:r>
    </w:p>
    <w:p>
      <w:pPr>
        <w:pStyle w:val="Heading3"/>
      </w:pPr>
      <w:r>
        <w:t>智能体广场</w:t>
      </w:r>
    </w:p>
    <w:p>
      <w:pPr>
        <w:spacing w:line="360" w:lineRule="auto"/>
        <w:ind w:firstLine="420"/>
      </w:pPr>
      <w:r>
        <w:t>能力训练案例展示：聚焦本校公开的优质能力训练案例，提供多维度精准检索功能——支持按学科门类、专业方向、核心能力标签进行分类筛选，同时支持通过案例名称模糊搜索，助力学生快速定位适配训练资源，高效启动个性化能力提升训练。</w:t>
      </w:r>
    </w:p>
    <w:p>
      <w:pPr>
        <w:spacing w:line="360" w:lineRule="auto"/>
        <w:ind w:firstLine="420"/>
      </w:pPr>
      <w:r>
        <w:t>智能体资源服务：整合学校公开的各类智能体工具，按应用场景划分为助教、助学、助研、助管、助国际交流五大类别，支持分类浏览与精准调用，满足学生在学习、科研、管理协同及国际交流等多场景的智能化需求。</w:t>
      </w:r>
    </w:p>
    <w:p>
      <w:pPr>
        <w:pStyle w:val="Heading3"/>
      </w:pPr>
      <w:r>
        <w:t>知识中心</w:t>
      </w:r>
    </w:p>
    <w:p>
      <w:pPr>
        <w:spacing w:line="360" w:lineRule="auto"/>
        <w:ind w:firstLine="420"/>
      </w:pPr>
      <w:r>
        <w:t>知识中心包括：个人知识库，智能驱动的个人知识管理核心；团队知识库，协同赋能的组织知识共享平台；校级知识库，全域整合的教育知识服务生态。</w:t>
      </w:r>
    </w:p>
    <w:p>
      <w:pPr>
        <w:pStyle w:val="Heading2"/>
      </w:pPr>
      <w:r>
        <w:t>运行管理分析后台</w:t>
      </w:r>
    </w:p>
    <w:p>
      <w:pPr>
        <w:pStyle w:val="Heading3"/>
      </w:pPr>
      <w:r>
        <w:t>运行数据分析</w:t>
      </w:r>
    </w:p>
    <w:p>
      <w:pPr>
        <w:spacing w:line="360" w:lineRule="auto"/>
        <w:ind w:firstLine="420"/>
      </w:pPr>
      <w:r>
        <w:t>构建全链路运行数据管理体系与可视化统计看板，聚焦核心业务数据维度，实现 AI 模型与智能体运行状态的实时监控、多维度统计及深度洞察。</w:t>
      </w:r>
    </w:p>
    <w:p>
      <w:pPr>
        <w:pStyle w:val="Heading3"/>
      </w:pPr>
      <w:r>
        <w:t>建设成果分析</w:t>
      </w:r>
    </w:p>
    <w:p>
      <w:pPr>
        <w:spacing w:line="360" w:lineRule="auto"/>
        <w:ind w:firstLine="420"/>
      </w:pPr>
      <w:r>
        <w:t>建设成果分析模块涵盖模型训练成效数据、智能体研发落地成果数据、学科语料资源建设成果数据等核心维度，通过多维度数据整合与深度分析，实现成果量化评估、价值沉淀与可视化呈现等核心功能，为项目成效复盘、技术迭代优化及决策制定提供数据支撑。</w:t>
      </w:r>
    </w:p>
    <w:p>
      <w:pPr>
        <w:pStyle w:val="Heading3"/>
      </w:pPr>
      <w:r>
        <w:t>智能体管理</w:t>
      </w:r>
    </w:p>
    <w:p>
      <w:pPr>
        <w:spacing w:line="360" w:lineRule="auto"/>
        <w:ind w:firstLine="420"/>
      </w:pPr>
      <w:r>
        <w:t>智能体管理功能提供全生命周期管控能力，涵盖门户智能体清单可视化展示、智能体基础信息（含名称、功能描述、技术参数、所属分类等）灵活编辑、智能体发布审核流程管控、上下架状态实时管理等核心模块。同时，支持智能体版本迭代记录、权限精细化配置、运行状态监控、数据统计分析等扩展能力，实现智能体从创建、配置、发布到运维的全流程规范化管理，提升智能体运营效率与管控精准度，为业务场景快速适配与规模化应用提供支撑。</w:t>
      </w:r>
    </w:p>
    <w:p>
      <w:pPr>
        <w:pStyle w:val="Heading3"/>
      </w:pPr>
      <w:r>
        <w:t>风险管控</w:t>
      </w:r>
    </w:p>
    <w:p>
      <w:pPr>
        <w:spacing w:line="360" w:lineRule="auto"/>
        <w:ind w:firstLine="420"/>
      </w:pPr>
      <w:r>
        <w:t>敏感词全生命周期管理：支持敏感词精准检索、触发频次实时统计，构建全流程敏感词检测机制，实现违规内容的快速识别与拦截，保障业务合规性。</w:t>
      </w:r>
    </w:p>
    <w:p>
      <w:pPr>
        <w:spacing w:line="360" w:lineRule="auto"/>
        <w:ind w:firstLine="420"/>
      </w:pPr>
      <w:r>
        <w:t>风险用户精细化管控：提供用户禁言、黑名单动态管理、问答日志溯源等核心功能，可对高风险用户进行分级处置，形成"检测－管控－追溯"的闭环管理体系，降低用户行为引发的业务风险。</w:t>
      </w:r>
    </w:p>
    <w:p>
      <w:pPr>
        <w:pStyle w:val="Heading3"/>
      </w:pPr>
      <w:r>
        <w:t>反馈管理</w:t>
      </w:r>
    </w:p>
    <w:p>
      <w:pPr>
        <w:spacing w:line="360" w:lineRule="auto"/>
        <w:ind w:firstLine="420"/>
      </w:pPr>
      <w:r>
        <w:t>构建全流程用户反馈闭环管理体系，核心功能涵盖：</w:t>
      </w:r>
    </w:p>
    <w:p>
      <w:pPr>
        <w:pStyle w:val="ListBullet"/>
        <w:spacing w:line="360" w:lineRule="auto"/>
      </w:pPr>
      <w:r>
        <w:t>互动反馈采集：支持用户通过点赞功能实现正向反馈快速表达，精准捕捉用户对系统功能/服务的认可维度；</w:t>
      </w:r>
    </w:p>
    <w:p>
      <w:pPr>
        <w:pStyle w:val="ListBullet"/>
        <w:spacing w:line="360" w:lineRule="auto"/>
      </w:pPr>
      <w:r>
        <w:t>异常反馈处置：提供标准化用户举报通道，支持违规内容、功能故障、数据异常等问题的分类上报与流转处理，保障系统合规运营；</w:t>
      </w:r>
    </w:p>
    <w:p>
      <w:pPr>
        <w:pStyle w:val="ListBullet"/>
        <w:spacing w:line="360" w:lineRule="auto"/>
      </w:pPr>
      <w:r>
        <w:t>建设性意见管理：建立用户建议全生命周期管理机制，包含建议提交、分类审核、处理跟踪、结果反馈等环节，实现用户诉求与产品优化的高效联动。</w:t>
      </w:r>
    </w:p>
    <w:p>
      <w:pPr>
        <w:pStyle w:val="Heading3"/>
      </w:pPr>
      <w:r>
        <w:t>系统配置管理</w:t>
      </w:r>
    </w:p>
    <w:p>
      <w:pPr>
        <w:spacing w:line="360" w:lineRule="auto"/>
        <w:ind w:firstLine="420"/>
      </w:pPr>
      <w:r>
        <w:t>支持门户核心信息的可视化配置，涵盖系统名称、展示图片、品牌LOGO、热门问题库等基础参数的自定义设置；同时提供智能体推荐策略配置与能力训练任务的灵活配置功能，可根据业务场景需求精准适配系统核心功能模块，实现门户展示与智能服务能力的个性化定制。</w:t>
      </w:r>
    </w:p>
    <w:p>
      <w:pPr>
        <w:pStyle w:val="Heading1"/>
      </w:pPr>
      <w:r>
        <w:t>学科知识库</w:t>
      </w:r>
    </w:p>
    <w:p>
      <w:pPr>
        <w:pStyle w:val="Heading2"/>
      </w:pPr>
      <w:r>
        <w:t>知识库管理</w:t>
      </w:r>
    </w:p>
    <w:p>
      <w:pPr>
        <w:pStyle w:val="Heading3"/>
      </w:pPr>
      <w:r>
        <w:t>知识库管理</w:t>
      </w:r>
    </w:p>
    <w:p>
      <w:pPr>
        <w:pStyle w:val="ListBullet"/>
        <w:spacing w:line="360" w:lineRule="auto"/>
      </w:pPr>
      <w:r>
        <w:t>多维检索与筛选：支持知识库列表全景浏览，可按状态（如草稿、已发布、已归档）、分类标签进行精准筛选，同时提供知识库名称和关键词检索功能，快速定位目标资源；</w:t>
      </w:r>
    </w:p>
    <w:p>
      <w:pPr>
        <w:pStyle w:val="ListBullet"/>
        <w:spacing w:line="360" w:lineRule="auto"/>
      </w:pPr>
      <w:r>
        <w:t>核心信息可视化：实时展示各知识库的资源总量、最新更新时间等关键数据，助力用户直观掌握知识库动态；</w:t>
      </w:r>
    </w:p>
    <w:p>
      <w:pPr>
        <w:pStyle w:val="ListBullet"/>
        <w:spacing w:line="360" w:lineRule="auto"/>
      </w:pPr>
      <w:r>
        <w:t>知识库创建：支持新建知识库操作，可完整录入名称、功能介绍、分类归属、检索算法配置、向量模型选择等核心参数，满足个性化部署需求；</w:t>
      </w:r>
    </w:p>
    <w:p>
      <w:pPr>
        <w:pStyle w:val="ListBullet"/>
        <w:spacing w:line="360" w:lineRule="auto"/>
      </w:pPr>
      <w:r>
        <w:t>资源视图灵活切换：支持查看知识库内关联资源，提供列表视图与文件夹视图双向切换功能，适配不同场景下的资源管理习惯；</w:t>
      </w:r>
    </w:p>
    <w:p>
      <w:pPr>
        <w:pStyle w:val="ListBullet"/>
        <w:spacing w:line="360" w:lineRule="auto"/>
      </w:pPr>
      <w:r>
        <w:t>知识库生命周期管理：支持编辑知识库基本信息，提供发布、取消发布、删除等状态管控功能，实现全生命周期规范化管理；</w:t>
      </w:r>
    </w:p>
    <w:p>
      <w:pPr>
        <w:pStyle w:val="ListBullet"/>
        <w:spacing w:line="360" w:lineRule="auto"/>
      </w:pPr>
      <w:r>
        <w:t>资源批量高效操作：支持对知识库内资源进行检索查询，并提供批量删除、批量移动、批量修改标签等集约化操作，提升资源管理效率。</w:t>
      </w:r>
    </w:p>
    <w:p>
      <w:pPr>
        <w:pStyle w:val="Heading3"/>
      </w:pPr>
      <w:r>
        <w:t>多模态资源上传</w:t>
      </w:r>
    </w:p>
    <w:p>
      <w:pPr>
        <w:pStyle w:val="ListBullet"/>
        <w:spacing w:line="360" w:lineRule="auto"/>
      </w:pPr>
      <w:r>
        <w:t>多格式资源兼容与引用：支持 PDF、DOC、DOCX、TXT、XLS、XLSX、PPT、PPTX 及图片等多类型资源上传，同时支持直接引用平台自建资源库中的存量资源，满足多样化数据导入需求。</w:t>
      </w:r>
    </w:p>
    <w:p>
      <w:pPr>
        <w:pStyle w:val="ListBullet"/>
        <w:spacing w:line="360" w:lineRule="auto"/>
      </w:pPr>
      <w:r>
        <w:t>智能拆分与可视化预览：提供智能拆分与自定义拆分两种模式，支持对上传资源进行精准拆分处理；支持拆分效果实时预览，并可在预览切片时快速定位至原文对应位置，确保拆分准确性。</w:t>
      </w:r>
    </w:p>
    <w:p>
      <w:pPr>
        <w:pStyle w:val="ListBullet"/>
        <w:spacing w:line="360" w:lineRule="auto"/>
      </w:pPr>
      <w:r>
        <w:t>全生命周期资源管理：支持对单个资源执行名称编辑、标签配置、文件夹移动、删除、在线查看及本地下载等操作；针对解析失败的文件，提供重新解析功能，保障资源处理连续性。</w:t>
      </w:r>
    </w:p>
    <w:p>
      <w:pPr>
        <w:pStyle w:val="ListBullet"/>
        <w:spacing w:line="360" w:lineRule="auto"/>
      </w:pPr>
      <w:r>
        <w:t>切片精细化编辑与交互体验：支持查看单个资源的完整切片列表，可对目标切片执行上方插入知识块、下方插入知识块、编辑或删除等操作；支持基于单个资源快速发起问答交互，实现即时性知识查询。</w:t>
      </w:r>
    </w:p>
    <w:p>
      <w:pPr>
        <w:pStyle w:val="Heading3"/>
      </w:pPr>
      <w:r>
        <w:t>问答调试</w:t>
      </w:r>
    </w:p>
    <w:p>
      <w:pPr>
        <w:pStyle w:val="ListBullet"/>
        <w:spacing w:line="360" w:lineRule="auto"/>
      </w:pPr>
      <w:r>
        <w:t>支持双路径问答体验触发：一是在知识库资源列表页通过点击浮窗，快速发起针对目标知识库的问答交互；二是通过点击"问答调试"按钮跳转至专属调试页面，可对检索策略、问答参数等核心配置项进行精细化设置。</w:t>
      </w:r>
    </w:p>
    <w:p>
      <w:pPr>
        <w:pStyle w:val="ListBullet"/>
        <w:spacing w:line="360" w:lineRule="auto"/>
      </w:pPr>
      <w:r>
        <w:t>提供灵活的模型选择能力，支持在问答交互过程中切换不同大模型；同时内置回答内容一键复制功能，提升操作便捷性。</w:t>
      </w:r>
    </w:p>
    <w:p>
      <w:pPr>
        <w:pStyle w:val="ListBullet"/>
        <w:spacing w:line="360" w:lineRule="auto"/>
      </w:pPr>
      <w:r>
        <w:t>具备完整的会话历史管理能力，支持在问答体验过程中实时查看历史交互记录，便于追溯对话上下文。</w:t>
      </w:r>
    </w:p>
    <w:p>
      <w:pPr>
        <w:pStyle w:val="ListBullet"/>
        <w:spacing w:line="360" w:lineRule="auto"/>
      </w:pPr>
      <w:r>
        <w:t>支持精细化问答场景，可针对单个知识库资源发起定向问答体验，实现精准化信息检索与交互。</w:t>
      </w:r>
    </w:p>
    <w:p>
      <w:pPr>
        <w:pStyle w:val="ListBullet"/>
        <w:spacing w:line="360" w:lineRule="auto"/>
      </w:pPr>
      <w:r>
        <w:t>实现检索结果溯源功能，问答回复中召回的相关文本切片可直接定位至知识库原文对应位置，保障信息的可追溯性与准确性。</w:t>
      </w:r>
    </w:p>
    <w:p>
      <w:pPr>
        <w:pStyle w:val="Heading2"/>
      </w:pPr>
      <w:r>
        <w:t>验证测试集构建</w:t>
      </w:r>
    </w:p>
    <w:p>
      <w:pPr>
        <w:pStyle w:val="ListBullet"/>
        <w:spacing w:line="360" w:lineRule="auto"/>
      </w:pPr>
      <w:r>
        <w:t>构建维度覆盖：基于知识库文档核心内容，系统性覆盖通用业务维度与专业学科维度，确保测试场景与实际应用场景高度贴合；</w:t>
      </w:r>
    </w:p>
    <w:p>
      <w:pPr>
        <w:pStyle w:val="ListBullet"/>
        <w:spacing w:line="360" w:lineRule="auto"/>
      </w:pPr>
      <w:r>
        <w:t>问题类型设计：测试集需包含多元化问题类型，具体涵盖：问答对匹配类问题、细粒度信息提取类问题、逻辑推理类问题、长尾边缘场景问题、否定式验证类问题、多文档信息冲突类问题等，全面验证系统在不同场景下的处理能力；</w:t>
      </w:r>
    </w:p>
    <w:p>
      <w:pPr>
        <w:pStyle w:val="ListBullet"/>
        <w:spacing w:line="360" w:lineRule="auto"/>
      </w:pPr>
      <w:r>
        <w:t>样本数量规划：根据知识库资源规模（文档数量、信息密度等），灵活调整测试集样本数量，建议构建范围为100—500条，确保测试结果的统计显著性与有效性。</w:t>
      </w:r>
    </w:p>
    <w:p>
      <w:pPr>
        <w:pStyle w:val="Heading2"/>
      </w:pPr>
      <w:r>
        <w:t>知识库标准测评服务</w:t>
      </w:r>
    </w:p>
    <w:p>
      <w:pPr>
        <w:pStyle w:val="ListBullet"/>
        <w:spacing w:line="360" w:lineRule="auto"/>
      </w:pPr>
      <w:r>
        <w:t>全维度评测标准体系构建：建立覆盖多核心维度的标准化问答评测框架，具体包含事实准确性、语言流畅性、信息相关性、排版显示适配性、内容合规性五大核心维度。明确各维度的量化定义、评估指标及分级评分规则，形成可落地、可复现的标准化评测依据。</w:t>
      </w:r>
    </w:p>
    <w:p>
      <w:pPr>
        <w:pStyle w:val="ListBullet"/>
        <w:spacing w:line="360" w:lineRule="auto"/>
      </w:pPr>
      <w:r>
        <w:t>RAG效果量化测试与报告输出：基于定制化测试集（覆盖高频场景、边缘案例及复杂查询场景），结合上述标准化评价体系开展 RAG（检索增强生成）全流程效果测试，系统验证检索精准度、生成质量及综合应答效果。测试完成后输出包含测试方案、数据样本、各维度得分明细、效果分析结论及优化建议的专业化测试报告，为知识库迭代优化提供数据支撑。</w:t>
      </w:r>
    </w:p>
    <w:p>
      <w:pPr>
        <w:pStyle w:val="Heading1"/>
      </w:pPr>
      <w:r>
        <w:t>学科智能体应用</w:t>
      </w:r>
    </w:p>
    <w:p>
      <w:pPr>
        <w:pStyle w:val="Heading2"/>
      </w:pPr>
      <w:r>
        <w:t>五助智能体</w:t>
      </w:r>
    </w:p>
    <w:p>
      <w:pPr>
        <w:pStyle w:val="Heading3"/>
      </w:pPr>
      <w:r>
        <w:t>助教智能体</w:t>
      </w:r>
    </w:p>
    <w:p>
      <w:pPr>
        <w:pStyle w:val="ListBullet"/>
        <w:spacing w:line="360" w:lineRule="auto"/>
      </w:pPr>
      <w:r>
        <w:t>课件与课程内容生成：支持课件PPT智能制作、AI微课自动化生成，快速输出符合教学场景的可视化教学素材；</w:t>
      </w:r>
    </w:p>
    <w:p>
      <w:pPr>
        <w:pStyle w:val="ListBullet"/>
        <w:spacing w:line="360" w:lineRule="auto"/>
      </w:pPr>
      <w:r>
        <w:t>教学文书智能写作：覆盖教案、课题研究报告、教学大纲等专业文书的AI辅助创作，提升文书撰写效率与规范性；</w:t>
      </w:r>
    </w:p>
    <w:p>
      <w:pPr>
        <w:pStyle w:val="ListBullet"/>
        <w:spacing w:line="360" w:lineRule="auto"/>
      </w:pPr>
      <w:r>
        <w:t>教学资源与工具支撑：提供精准化备课资源检索、知识点关联的知识图谱构建服务，搭配智能出题助手（支持多题型定制、难度梯度设置），全方位赋能备课全流程；</w:t>
      </w:r>
    </w:p>
    <w:p>
      <w:pPr>
        <w:pStyle w:val="ListBullet"/>
        <w:spacing w:line="360" w:lineRule="auto"/>
      </w:pPr>
      <w:r>
        <w:t>教学评价高效化：集成智能批改功能，实现作业、试卷等教学成果的自动化评阅与反馈，降低教学管理成本。</w:t>
      </w:r>
    </w:p>
    <w:p>
      <w:pPr>
        <w:pStyle w:val="Heading3"/>
      </w:pPr>
      <w:r>
        <w:t>助学智能体</w:t>
      </w:r>
    </w:p>
    <w:p>
      <w:pPr>
        <w:pStyle w:val="ListBullet"/>
        <w:spacing w:line="360" w:lineRule="auto"/>
      </w:pPr>
      <w:r>
        <w:t>学术创作支持：AI驱动课题报告、学术论文等写作辅助（含框架搭建、内容润色、逻辑优化），提升学术产出效率与质量；</w:t>
      </w:r>
    </w:p>
    <w:p>
      <w:pPr>
        <w:pStyle w:val="ListBullet"/>
        <w:spacing w:line="360" w:lineRule="auto"/>
      </w:pPr>
      <w:r>
        <w:t>智能阅读赋能：提供文献解析、重点提炼、跨语言翻译、难点批注等阅读辅助功能，降低学术资料研读门槛；</w:t>
      </w:r>
    </w:p>
    <w:p>
      <w:pPr>
        <w:pStyle w:val="ListBullet"/>
        <w:spacing w:line="360" w:lineRule="auto"/>
      </w:pPr>
      <w:r>
        <w:t>简历优化：AI精准匹配岗位需求，提供简历结构调整、亮点挖掘、语言润色等定制化服务；</w:t>
      </w:r>
    </w:p>
    <w:p>
      <w:pPr>
        <w:pStyle w:val="ListBullet"/>
        <w:spacing w:line="360" w:lineRule="auto"/>
      </w:pPr>
      <w:r>
        <w:t>考研助力：基于院校招录数据、专业发展趋势，智能推荐适配志愿，提供备考规划与重难点解析；</w:t>
      </w:r>
    </w:p>
    <w:p>
      <w:pPr>
        <w:pStyle w:val="ListBullet"/>
        <w:spacing w:line="360" w:lineRule="auto"/>
      </w:pPr>
      <w:r>
        <w:t>职业规划：结合行业动态与个人特质，生成个性化职业发展路径，提供岗位匹配、技能提升建议；</w:t>
      </w:r>
    </w:p>
    <w:p>
      <w:pPr>
        <w:pStyle w:val="ListBullet"/>
        <w:spacing w:line="360" w:lineRule="auto"/>
      </w:pPr>
      <w:r>
        <w:t>课程答疑：针对专业课程知识点、作业难点提供即时解答，配套逻辑推导与案例演示；</w:t>
      </w:r>
    </w:p>
    <w:p>
      <w:pPr>
        <w:pStyle w:val="ListBullet"/>
        <w:spacing w:line="360" w:lineRule="auto"/>
      </w:pPr>
      <w:r>
        <w:t>启发式答疑：以引导式提问激发思辨能力，助力深度理解知识内核，而非单纯输出答案；</w:t>
      </w:r>
    </w:p>
    <w:p>
      <w:pPr>
        <w:pStyle w:val="ListBullet"/>
        <w:spacing w:line="360" w:lineRule="auto"/>
      </w:pPr>
      <w:r>
        <w:t>学习协同互动：智能匹配兴趣、目标一致的学习搭子，搭建互助学习场景，支持进度同步、问题研讨与动力激励。</w:t>
      </w:r>
    </w:p>
    <w:p>
      <w:pPr>
        <w:pStyle w:val="Heading3"/>
      </w:pPr>
      <w:r>
        <w:t>助管智能体</w:t>
      </w:r>
    </w:p>
    <w:p>
      <w:pPr>
        <w:spacing w:line="360" w:lineRule="auto"/>
        <w:ind w:firstLine="420"/>
      </w:pPr>
      <w:r>
        <w:t>构建覆盖校园管理核心场景的智能体矩阵，聚焦政策传达、师生服务、制度落地三大核心需求。</w:t>
      </w:r>
    </w:p>
    <w:p>
      <w:pPr>
        <w:pStyle w:val="Heading3"/>
      </w:pPr>
      <w:r>
        <w:t>助国际交流智能体</w:t>
      </w:r>
    </w:p>
    <w:p>
      <w:pPr>
        <w:pStyle w:val="ListBullet"/>
        <w:spacing w:line="360" w:lineRule="auto"/>
      </w:pPr>
      <w:r>
        <w:t>国际事务智能咨询：整合国际历史、跨文化交际等专业知识库，提供多维度国际事务解答，兼具国际历史学家的专业深度与"国际通"的全局视野，助力精准把握跨国交流背景与核心要点；</w:t>
      </w:r>
    </w:p>
    <w:p>
      <w:pPr>
        <w:pStyle w:val="ListBullet"/>
        <w:spacing w:line="360" w:lineRule="auto"/>
      </w:pPr>
      <w:r>
        <w:t>国际交流接待赋能：针对学校国际交流处等场景，提供标准化接待流程指引、跨文化沟通话术优化、突发情况应对方案等支持，提升跨国接待的专业性与高效性；</w:t>
      </w:r>
    </w:p>
    <w:p>
      <w:pPr>
        <w:pStyle w:val="ListBullet"/>
        <w:spacing w:line="360" w:lineRule="auto"/>
      </w:pPr>
      <w:r>
        <w:t>双语互译服务：聚焦中英双语场景，提供精准、流畅的实时互译功能，覆盖专业文档、口语沟通、会议纪要等多场景需求，保障跨语言交流无壁垒；</w:t>
      </w:r>
    </w:p>
    <w:p>
      <w:pPr>
        <w:pStyle w:val="ListBullet"/>
        <w:spacing w:line="360" w:lineRule="auto"/>
      </w:pPr>
      <w:r>
        <w:t>英文邮件智能撰写：内置国际商务、学术交流等多场景邮件模板库，支持内容个性化生成、语法纠错、语气优化，助力快速产出规范、得体的英文沟通邮件。</w:t>
      </w:r>
    </w:p>
    <w:p>
      <w:pPr>
        <w:pStyle w:val="Heading2"/>
      </w:pPr>
      <w:r>
        <w:t>定制智能体</w:t>
      </w:r>
    </w:p>
    <w:p>
      <w:pPr>
        <w:pStyle w:val="Heading3"/>
      </w:pPr>
      <w:r>
        <w:t>文献分析与关键信息抽取</w:t>
      </w:r>
    </w:p>
    <w:p>
      <w:pPr>
        <w:spacing w:line="360" w:lineRule="auto"/>
        <w:ind w:firstLine="420"/>
      </w:pPr>
      <w:r>
        <w:t>面向生物工程领域教师与科研人员，构建多源文献智能解析与专业问答能力。核心功能如下：</w:t>
      </w:r>
    </w:p>
    <w:p>
      <w:pPr>
        <w:pStyle w:val="ListBullet"/>
        <w:spacing w:line="360" w:lineRule="auto"/>
      </w:pPr>
      <w:r>
        <w:t>多格式文献智能解析：支持自动解析 PDF、Word、TXT 等格式的生物工程领域文献，基于学科知识体系精准识别文献中的专业实体——包括基因/蛋白名称、菌株/细胞系、试剂设备型号、信号通路及代谢途径等，实现结构化信息的自动提取与归档；</w:t>
      </w:r>
    </w:p>
    <w:p>
      <w:pPr>
        <w:pStyle w:val="ListBullet"/>
        <w:spacing w:line="360" w:lineRule="auto"/>
      </w:pPr>
      <w:r>
        <w:t>领域专业问答：依托生物工程学科知识库与大模型能力，针对用户提问提供专业化、体系化的领域知识解答，涵盖实验方案设计、研究方向趋势分析、文献综述生成等深度服务；</w:t>
      </w:r>
    </w:p>
    <w:p>
      <w:pPr>
        <w:pStyle w:val="ListBullet"/>
        <w:spacing w:line="360" w:lineRule="auto"/>
      </w:pPr>
      <w:r>
        <w:t>科研辅助赋能：支持基于文献内容自动生成实验设计方案建议，结合领域前沿动态识别研究空白与发展趋势，辅助项目申报文书撰写与论文框架搭建，全方位提升科研工作效率与产出质量。</w:t>
      </w:r>
    </w:p>
    <w:p>
      <w:pPr>
        <w:pStyle w:val="Heading3"/>
      </w:pPr>
      <w:r>
        <w:t>生物工程学科专业术语多语言翻译</w:t>
      </w:r>
    </w:p>
    <w:p>
      <w:pPr>
        <w:spacing w:line="360" w:lineRule="auto"/>
        <w:ind w:firstLine="420"/>
      </w:pPr>
      <w:r>
        <w:t>针对通用大模型在生物工程翻译中术语不准确、上下文理解偏差、译法不统一等痛点，构建学科专属的多语言翻译服务能力。核心功能如下：</w:t>
      </w:r>
    </w:p>
    <w:p>
      <w:pPr>
        <w:pStyle w:val="ListBullet"/>
        <w:spacing w:line="360" w:lineRule="auto"/>
      </w:pPr>
      <w:r>
        <w:t>学科术语库驱动翻译：构建涵盖生物工程细分领域（分子生物学、发酵工程、生物制药、食品生物技术等）的中英术语库，确保专业术语翻译的准确性与一致性；</w:t>
      </w:r>
    </w:p>
    <w:p>
      <w:pPr>
        <w:pStyle w:val="ListBullet"/>
        <w:spacing w:line="360" w:lineRule="auto"/>
      </w:pPr>
      <w:r>
        <w:t>上下文感知翻译策略：基于大模型语义理解能力，结合文献语境与学科背景，智能选择最优译法，避免一词多义场景下的翻译歧义，确保不同场景下译文的准确性、统一性与可读性；</w:t>
      </w:r>
    </w:p>
    <w:p>
      <w:pPr>
        <w:pStyle w:val="ListBullet"/>
        <w:spacing w:line="360" w:lineRule="auto"/>
      </w:pPr>
      <w:r>
        <w:t>多粒度翻译支持：覆盖单个术语翻译、句子/段落级翻译、整篇文档（教材、论文、实验方案、专利、产品说明书等）的全文译本生成，满足从即时查询到批量处理的多层次翻译需求；</w:t>
      </w:r>
    </w:p>
    <w:p>
      <w:pPr>
        <w:pStyle w:val="ListBullet"/>
        <w:spacing w:line="360" w:lineRule="auto"/>
      </w:pPr>
      <w:r>
        <w:t>译文质量保障：内置术语一致性校验与译文审校机制，自动标注潜在的术语翻译冲突与不一致项，支持人工复核与修正，确保最终交付译文的专业性与规范性。</w:t>
      </w:r>
    </w:p>
    <w:p>
      <w:pPr>
        <w:pStyle w:val="Heading1"/>
      </w:pPr>
      <w:r>
        <w:t>部署运维</w:t>
      </w:r>
    </w:p>
    <w:p>
      <w:pPr>
        <w:pStyle w:val="Heading2"/>
      </w:pPr>
      <w:r>
        <w:t>云端部署</w:t>
      </w:r>
    </w:p>
    <w:p>
      <w:pPr>
        <w:pStyle w:val="Heading3"/>
      </w:pPr>
      <w:r>
        <w:t>云端部署运维服务</w:t>
      </w:r>
    </w:p>
    <w:p>
      <w:pPr>
        <w:spacing w:line="360" w:lineRule="auto"/>
        <w:ind w:firstLine="420"/>
      </w:pPr>
      <w:r>
        <w:t>包含业务系统、智能体应用、AI能力、模型全量云端部署及运维机器费用。</w:t>
      </w:r>
    </w:p>
    <w:p>
      <w:pPr>
        <w:pStyle w:val="Heading2"/>
      </w:pPr>
      <w:r>
        <w:t>混合部署</w:t>
      </w:r>
    </w:p>
    <w:p>
      <w:pPr>
        <w:pStyle w:val="Heading3"/>
      </w:pPr>
      <w:r>
        <w:t>混合部署运维服务</w:t>
      </w:r>
    </w:p>
    <w:p>
      <w:pPr>
        <w:spacing w:line="360" w:lineRule="auto"/>
        <w:ind w:firstLine="420"/>
      </w:pPr>
      <w:r>
        <w:t>本地化部署：业务系统、RAG知识库、定制训练模型（如有）；云端部署：AI能力、通用大模型。</w:t>
      </w:r>
    </w:p>
    <w:p>
      <w:pPr>
        <w:pStyle w:val="Heading3"/>
      </w:pPr>
      <w:r>
        <w:t>混合部署部署服务</w:t>
      </w:r>
    </w:p>
    <w:p>
      <w:pPr>
        <w:spacing w:line="360" w:lineRule="auto"/>
        <w:ind w:firstLine="420"/>
      </w:pPr>
      <w:r>
        <w:t>通用大模型或定制训练模型的部署服务（不含算力费用）。</w:t>
      </w:r>
    </w:p>
    <w:p>
      <w:pPr>
        <w:pStyle w:val="Heading1"/>
      </w:pPr>
      <w:r>
        <w:t>增值服务</w:t>
      </w:r>
    </w:p>
    <w:p>
      <w:pPr>
        <w:pStyle w:val="Heading2"/>
      </w:pPr>
      <w:r>
        <w:t>统一认证集成服务</w:t>
      </w:r>
    </w:p>
    <w:p>
      <w:pPr>
        <w:spacing w:line="360" w:lineRule="auto"/>
        <w:ind w:firstLine="420"/>
      </w:pPr>
      <w:r>
        <w:t>支持与高校统一认证系统集成，实现用户账号单点登录，不含给予第三方厂商的费用。</w:t>
      </w:r>
    </w:p>
    <w:p>
      <w:pPr>
        <w:pStyle w:val="Heading2"/>
      </w:pPr>
      <w:r>
        <w:t>基础数据同步服务</w:t>
      </w:r>
    </w:p>
    <w:p>
      <w:pPr>
        <w:spacing w:line="360" w:lineRule="auto"/>
        <w:ind w:firstLine="420"/>
      </w:pPr>
      <w:r>
        <w:t>支持从学校统一认证系统同步组织架构、角色等账户基础数据。</w:t>
      </w:r>
    </w:p>
    <w:p>
      <w:pPr>
        <w:pStyle w:val="Heading2"/>
      </w:pPr>
      <w:r>
        <w:t>产品使用培训服务</w:t>
      </w:r>
    </w:p>
    <w:p>
      <w:pPr>
        <w:spacing w:line="360" w:lineRule="auto"/>
        <w:ind w:firstLine="420"/>
      </w:pPr>
      <w:r>
        <w:t>为保证用户能够有效地操作使用产品，面向相关部门或师生开展数据标注培训或产品使用培训，默认免费培训一次，每次不超过2天。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