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tbl>
      <w:tblPr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2466"/>
        <w:gridCol w:w="2466"/>
        <w:gridCol w:w="2466"/>
        <w:gridCol w:w="2466"/>
      </w:tblGrid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1000000">
            <w:r>
              <w:t xml:space="preserve">              N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2000000">
            <w:r>
              <w:t xml:space="preserve">           Тема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3000000">
            <w:r>
              <w:t xml:space="preserve">       Формула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4000000">
            <w:r>
              <w:t xml:space="preserve">         Ответ</w:t>
            </w:r>
          </w:p>
        </w:tc>
      </w:tr>
      <w:tr>
        <w:trPr>
          <w:trHeight w:hRule="atLeast" w:val="281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5000000">
            <w:r>
              <w:t>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6000000">
            <w:r>
              <w:t xml:space="preserve"> Оценка сознания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7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8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9000000">
            <w: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r>
              <w:t>Контрольные листы процедур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B000000">
            <w:pPr>
              <w:rPr>
                <w:vertAlign w:val="subscript"/>
              </w:rPr>
            </w:pPr>
            <w:r>
              <w:t xml:space="preserve"> 2</w:t>
            </w:r>
            <w:r>
              <w:rPr>
                <w:vertAlign w:val="superscript"/>
              </w:rP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C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D000000">
            <w: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E000000">
            <w:r>
              <w:t>Сигналы тревоги монитора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r>
              <w:t>2</w:t>
            </w:r>
            <w:r>
              <w:rPr>
                <w:vertAlign w:val="superscript"/>
              </w:rPr>
              <w:t>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0000000">
            <w:r>
              <w:t>8</w:t>
            </w:r>
          </w:p>
        </w:tc>
      </w:tr>
      <w:tr>
        <w:trPr>
          <w:trHeight w:hRule="atLeast" w:val="32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1000000">
            <w:r>
              <w:t>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2000000">
            <w:r>
              <w:t>Проверка перед введением лекарства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r>
              <w:t>64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r>
              <w:t>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6000000">
            <w:r>
              <w:t>Двоичный код симптомов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7000000">
            <w:pPr>
              <w:rPr>
                <w:vertAlign w:val="superscript"/>
              </w:rPr>
            </w:pPr>
            <w:r>
              <w:t>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8000000">
            <w:r>
              <w:t>Боль, головокружение</w:t>
            </w:r>
          </w:p>
        </w:tc>
      </w:tr>
      <w:tr>
        <w:trPr>
          <w:trHeight w:hRule="atLeast" w:val="356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9000000">
            <w:r>
              <w:t>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A000000">
            <w:r>
              <w:t>Инфузомат: режимы работы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B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4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D000000">
            <w:r>
              <w:t>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E000000">
            <w:r>
              <w:t>Двоичная запись температуры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F000000">
            <w:r>
              <w:t>37</w:t>
            </w:r>
            <w:r>
              <w:rPr>
                <w:vertAlign w:val="subscript"/>
              </w:rPr>
              <w:t>10</w:t>
            </w:r>
            <w:r>
              <w:t xml:space="preserve">=2             </w:t>
            </w:r>
            <w:r>
              <w:t xml:space="preserve">    </w:t>
            </w:r>
          </w:p>
          <w:p w14:paraId="20000000"/>
          <w:p w14:paraId="21000000">
            <w:r>
              <w:t>38</w:t>
            </w:r>
            <w:r>
              <w:rPr>
                <w:vertAlign w:val="subscript"/>
              </w:rPr>
              <w:t>10</w:t>
            </w:r>
            <w:r>
              <w:t>=2</w:t>
            </w:r>
          </w:p>
          <w:p w14:paraId="22000000">
            <w:r>
              <w:t xml:space="preserve">       </w:t>
            </w:r>
          </w:p>
          <w:p w14:paraId="23000000">
            <w:r>
              <w:t>39</w:t>
            </w:r>
            <w:r>
              <w:rPr>
                <w:vertAlign w:val="subscript"/>
              </w:rPr>
              <w:t>10</w:t>
            </w:r>
            <w:r>
              <w:t>=2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4000000">
            <w:r>
              <w:t>100101</w:t>
            </w:r>
          </w:p>
          <w:p w14:paraId="25000000"/>
          <w:p w14:paraId="26000000">
            <w:r>
              <w:t>100110</w:t>
            </w:r>
          </w:p>
          <w:p w14:paraId="27000000"/>
          <w:p w14:paraId="28000000">
            <w:r>
              <w:t>100111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9000000">
            <w: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A000000">
            <w:r>
              <w:t>Перевод двоичного кода пациента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B000000">
            <w:pPr>
              <w:rPr>
                <w:vertAlign w:val="subscript"/>
              </w:rPr>
            </w:pPr>
            <w:r>
              <w:t>10110</w:t>
            </w:r>
            <w:r>
              <w:rPr>
                <w:vertAlign w:val="subscript"/>
              </w:rPr>
              <w:t>2</w:t>
            </w:r>
            <w:r>
              <w:t>=10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C000000">
            <w:r>
              <w:t>22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D000000">
            <w:r>
              <w:t>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E000000">
            <w:r>
              <w:t>Комбинации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2F000000">
            <w:r>
              <w:t>2</w:t>
            </w:r>
            <w:r>
              <w:rPr>
                <w:vertAlign w:val="superscript"/>
              </w:rPr>
              <w:t>5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0000000">
            <w:r>
              <w:t>31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1000000">
            <w:r>
              <w:t>10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2000000">
            <w:r>
              <w:t>Факторы риска пролежней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3000000">
            <w:r>
              <w:t>(6;k)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4000000">
            <w:r>
              <w:t>42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5000000">
            <w:r>
              <w:t>11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6000000">
            <w:r>
              <w:t>Двоичный журнал дежурств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7000000">
            <w:pPr>
              <w:rPr>
                <w:vertAlign w:val="superscript"/>
              </w:rPr>
            </w:pPr>
            <w:r>
              <w:t>2</w:t>
            </w:r>
            <w:r>
              <w:rPr>
                <w:vertAlign w:val="superscript"/>
              </w:rPr>
              <w:t>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8000000">
            <w:r>
              <w:t>256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9000000">
            <w:r>
              <w:t>12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A000000">
            <w:r>
              <w:t>Тест-полоски: комбинации результатов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B000000">
            <w:r>
              <w:t>Всего: 2</w:t>
            </w:r>
            <w:r>
              <w:rPr>
                <w:vertAlign w:val="superscript"/>
              </w:rPr>
              <w:t>4</w:t>
            </w:r>
          </w:p>
          <w:p w14:paraId="3C000000">
            <w:pPr>
              <w:rPr>
                <w:vertAlign w:val="superscript"/>
              </w:rPr>
            </w:pPr>
          </w:p>
          <w:p w14:paraId="3D000000">
            <w:pPr>
              <w:rPr>
                <w:vertAlign w:val="superscript"/>
              </w:rPr>
            </w:pPr>
            <w:r>
              <w:t>Полностью отрицательные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3E000000">
            <w:r>
              <w:t>16</w:t>
            </w:r>
          </w:p>
          <w:p w14:paraId="3F000000"/>
          <w:p w14:paraId="40000000">
            <w:r>
              <w:t>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1000000">
            <w:r>
              <w:t>13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2000000">
            <w:r>
              <w:t>Настройки кислородного концентратора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3000000">
            <w:r>
              <w:t>3*2</w:t>
            </w:r>
            <w:r>
              <w:rPr>
                <w:vertAlign w:val="super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4000000">
            <w:r>
              <w:t>12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5000000">
            <w:r>
              <w:t>14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6000000">
            <w:r>
              <w:t>Двоичный код экстренной ситуации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7000000">
            <w:pPr>
              <w:rPr>
                <w:vertAlign w:val="subscript"/>
              </w:rPr>
            </w:pPr>
            <w:r>
              <w:t>11010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8000000">
            <w:r>
              <w:t>Дыхание, пульс, сознание, кровотечение, травма</w:t>
            </w:r>
          </w:p>
        </w:tc>
      </w:tr>
      <w:tr>
        <w:trPr>
          <w:trHeight w:hRule="atLeast" w:val="338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9000000">
            <w:r>
              <w:t>15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A000000">
            <w:r>
              <w:t>Комбинации доступов для инфузии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r>
              <w:t>2</w:t>
            </w:r>
            <w:r>
              <w:rPr>
                <w:vertAlign w:val="superscript"/>
              </w:rPr>
              <w:t>4</w:t>
            </w:r>
            <w:r>
              <w:t>=16-1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r>
              <w:t>15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r>
              <w:t>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r>
              <w:t>Двоичное представление дозы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r>
              <w:t>111111</w:t>
            </w:r>
            <w:r>
              <w:rPr>
                <w:vertAlign w:val="subscript"/>
              </w:rPr>
              <w:t>2</w:t>
            </w:r>
            <w:r>
              <w:t>=2</w:t>
            </w:r>
            <w:r>
              <w:rPr>
                <w:vertAlign w:val="superscript"/>
              </w:rPr>
              <w:t>6</w:t>
            </w:r>
            <w:r>
              <w:t>-1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0000000">
            <w:r>
              <w:t>63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r>
              <w:t>17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2000000">
            <w:r>
              <w:t>Проверка оборудования перед сменой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3000000">
            <w:r>
              <w:t>(7;0)+(7;1)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r>
              <w:t>7+1=8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r>
              <w:t>18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r>
              <w:t>Генетический скрининг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r>
              <w:t>(8;3)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r>
              <w:t>56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9000000">
            <w:r>
              <w:t>19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r>
              <w:t>Двоичный шифр пациента в базе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r>
              <w:t>2</w:t>
            </w:r>
            <w:r>
              <w:rPr>
                <w:vertAlign w:val="superscript"/>
              </w:rPr>
              <w:t>10</w:t>
            </w:r>
            <w:r>
              <w:t>=1024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r>
              <w:t>1024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r>
              <w:t>20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E000000">
            <w:r>
              <w:t>Комбинации симптомов для диагноза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r>
              <w:t>2</w:t>
            </w:r>
            <w:r>
              <w:rPr>
                <w:vertAlign w:val="superscript"/>
              </w:rPr>
              <w:t>5</w:t>
            </w:r>
            <w:r>
              <w:t>=32</w:t>
            </w:r>
          </w:p>
          <w:p w14:paraId="60000000"/>
          <w:p w14:paraId="61000000">
            <w:r>
              <w:t>32-16=16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2000000">
            <w:r>
              <w:t>16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r>
              <w:t>21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r>
              <w:t>Двоичное дерево решений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5000000">
            <w:r>
              <w:t>2</w:t>
            </w:r>
            <w:r>
              <w:rPr>
                <w:vertAlign w:val="superscript"/>
              </w:rPr>
              <w:t>5</w:t>
            </w:r>
            <w:r>
              <w:t>=32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r>
              <w:t>32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r>
              <w:t>22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r>
              <w:t>Кодирование группы крови и резуса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r>
              <w:t>Всего:4*2=8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r>
              <w:t>8 комбинаций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r>
              <w:t>23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r>
              <w:t>Мониторинг жизненных показателей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r>
              <w:t>2</w:t>
            </w:r>
            <w:r>
              <w:rPr>
                <w:vertAlign w:val="superscript"/>
              </w:rPr>
              <w:t>8</w:t>
            </w:r>
            <w:r>
              <w:t>=256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E000000">
            <w:r>
              <w:t>256; 1</w:t>
            </w:r>
          </w:p>
        </w:tc>
      </w:tr>
      <w:tr>
        <w:trPr>
          <w:trHeight w:hRule="atLeast" w:val="360"/>
        </w:trPr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r>
              <w:t>24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r>
              <w:t>Двоичная проверка совместимости препаратов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1000000">
            <w:r>
              <w:t>2</w:t>
            </w:r>
            <w:r>
              <w:rPr>
                <w:vertAlign w:val="superscript"/>
              </w:rPr>
              <w:t>6</w:t>
            </w:r>
            <w:r>
              <w:t>-(6;0)-(6;1)</w:t>
            </w:r>
          </w:p>
        </w:tc>
        <w:tc>
          <w:tcPr>
            <w:tcW w:type="dxa" w:w="246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2000000">
            <w:r>
              <w:t>57</w:t>
            </w:r>
          </w:p>
        </w:tc>
      </w:tr>
    </w:tbl>
    <w:p w14:paraId="73000000">
      <w:pPr>
        <w:pStyle w:val="Style_1"/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widowControl w:val="1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widowControl w:val="1"/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Endnote"/>
    <w:link w:val="Style_6_ch"/>
    <w:pPr>
      <w:ind w:firstLine="851" w:left="0"/>
      <w:jc w:val="both"/>
    </w:pPr>
    <w:rPr>
      <w:rFonts w:ascii="XO Thames" w:hAnsi="XO Thames"/>
      <w:sz w:val="22"/>
    </w:rPr>
  </w:style>
  <w:style w:styleId="Style_6_ch" w:type="character">
    <w:name w:val="Endnote"/>
    <w:link w:val="Style_6"/>
    <w:rPr>
      <w:rFonts w:ascii="XO Thames" w:hAnsi="XO Thames"/>
      <w:sz w:val="22"/>
    </w:rPr>
  </w:style>
  <w:style w:styleId="Style_7" w:type="paragraph">
    <w:name w:val="heading 3"/>
    <w:next w:val="Style_1"/>
    <w:link w:val="Style_7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7_ch" w:type="character">
    <w:name w:val="heading 3"/>
    <w:link w:val="Style_7"/>
    <w:rPr>
      <w:rFonts w:ascii="XO Thames" w:hAnsi="XO Thames"/>
      <w:b w:val="1"/>
      <w:sz w:val="26"/>
    </w:rPr>
  </w:style>
  <w:style w:styleId="Style_8" w:type="paragraph">
    <w:name w:val="toc 3"/>
    <w:next w:val="Style_1"/>
    <w:link w:val="Style_8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8_ch" w:type="character">
    <w:name w:val="toc 3"/>
    <w:link w:val="Style_8"/>
    <w:rPr>
      <w:rFonts w:ascii="XO Thames" w:hAnsi="XO Thames"/>
      <w:sz w:val="28"/>
    </w:rPr>
  </w:style>
  <w:style w:styleId="Style_9" w:type="paragraph">
    <w:name w:val="heading 5"/>
    <w:next w:val="Style_1"/>
    <w:link w:val="Style_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9_ch" w:type="character">
    <w:name w:val="heading 5"/>
    <w:link w:val="Style_9"/>
    <w:rPr>
      <w:rFonts w:ascii="XO Thames" w:hAnsi="XO Thames"/>
      <w:b w:val="1"/>
      <w:sz w:val="22"/>
    </w:rPr>
  </w:style>
  <w:style w:styleId="Style_10" w:type="paragraph">
    <w:name w:val="heading 1"/>
    <w:next w:val="Style_1"/>
    <w:link w:val="Style_1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0_ch" w:type="character">
    <w:name w:val="heading 1"/>
    <w:link w:val="Style_10"/>
    <w:rPr>
      <w:rFonts w:ascii="XO Thames" w:hAnsi="XO Thames"/>
      <w:b w:val="1"/>
      <w:sz w:val="32"/>
    </w:rPr>
  </w:style>
  <w:style w:styleId="Style_11" w:type="paragraph">
    <w:name w:val="Hyperlink"/>
    <w:link w:val="Style_11_ch"/>
    <w:rPr>
      <w:color w:val="0000FF"/>
      <w:u w:val="single"/>
    </w:rPr>
  </w:style>
  <w:style w:styleId="Style_11_ch" w:type="character">
    <w:name w:val="Hyperlink"/>
    <w:link w:val="Style_11"/>
    <w:rPr>
      <w:color w:val="0000FF"/>
      <w:u w:val="single"/>
    </w:rPr>
  </w:style>
  <w:style w:styleId="Style_12" w:type="paragraph">
    <w:name w:val="Foot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Footnote"/>
    <w:link w:val="Style_12"/>
    <w:rPr>
      <w:rFonts w:ascii="XO Thames" w:hAnsi="XO Thames"/>
      <w:sz w:val="22"/>
    </w:rPr>
  </w:style>
  <w:style w:styleId="Style_13" w:type="paragraph">
    <w:name w:val="toc 1"/>
    <w:next w:val="Style_1"/>
    <w:link w:val="Style_13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3_ch" w:type="character">
    <w:name w:val="toc 1"/>
    <w:link w:val="Style_13"/>
    <w:rPr>
      <w:rFonts w:ascii="XO Thames" w:hAnsi="XO Thames"/>
      <w:b w:val="1"/>
      <w:sz w:val="28"/>
    </w:rPr>
  </w:style>
  <w:style w:styleId="Style_14" w:type="paragraph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styleId="Style_14_ch" w:type="character">
    <w:name w:val="Header and Footer"/>
    <w:link w:val="Style_14"/>
    <w:rPr>
      <w:rFonts w:ascii="XO Thames" w:hAnsi="XO Thames"/>
      <w:sz w:val="28"/>
    </w:rPr>
  </w:style>
  <w:style w:styleId="Style_15" w:type="paragraph">
    <w:name w:val="toc 9"/>
    <w:next w:val="Style_1"/>
    <w:link w:val="Style_15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5_ch" w:type="character">
    <w:name w:val="toc 9"/>
    <w:link w:val="Style_15"/>
    <w:rPr>
      <w:rFonts w:ascii="XO Thames" w:hAnsi="XO Thames"/>
      <w:sz w:val="28"/>
    </w:rPr>
  </w:style>
  <w:style w:styleId="Style_16" w:type="paragraph">
    <w:name w:val="toc 8"/>
    <w:next w:val="Style_1"/>
    <w:link w:val="Style_16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6_ch" w:type="character">
    <w:name w:val="toc 8"/>
    <w:link w:val="Style_16"/>
    <w:rPr>
      <w:rFonts w:ascii="XO Thames" w:hAnsi="XO Thames"/>
      <w:sz w:val="28"/>
    </w:rPr>
  </w:style>
  <w:style w:styleId="Style_17" w:type="paragraph">
    <w:name w:val="toc 5"/>
    <w:next w:val="Style_1"/>
    <w:link w:val="Style_1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7_ch" w:type="character">
    <w:name w:val="toc 5"/>
    <w:link w:val="Style_17"/>
    <w:rPr>
      <w:rFonts w:ascii="XO Thames" w:hAnsi="XO Thames"/>
      <w:sz w:val="28"/>
    </w:rPr>
  </w:style>
  <w:style w:styleId="Style_18" w:type="paragraph">
    <w:name w:val="Subtitle"/>
    <w:next w:val="Style_1"/>
    <w:link w:val="Style_18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8_ch" w:type="character">
    <w:name w:val="Subtitle"/>
    <w:link w:val="Style_18"/>
    <w:rPr>
      <w:rFonts w:ascii="XO Thames" w:hAnsi="XO Thames"/>
      <w:i w:val="1"/>
      <w:sz w:val="24"/>
    </w:rPr>
  </w:style>
  <w:style w:styleId="Style_19" w:type="paragraph">
    <w:name w:val="Title"/>
    <w:next w:val="Style_1"/>
    <w:link w:val="Style_1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9_ch" w:type="character">
    <w:name w:val="Title"/>
    <w:link w:val="Style_19"/>
    <w:rPr>
      <w:rFonts w:ascii="XO Thames" w:hAnsi="XO Thames"/>
      <w:b w:val="1"/>
      <w:caps w:val="1"/>
      <w:sz w:val="40"/>
    </w:rPr>
  </w:style>
  <w:style w:styleId="Style_20" w:type="paragraph">
    <w:name w:val="heading 4"/>
    <w:next w:val="Style_1"/>
    <w:link w:val="Style_20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0_ch" w:type="character">
    <w:name w:val="heading 4"/>
    <w:link w:val="Style_20"/>
    <w:rPr>
      <w:rFonts w:ascii="XO Thames" w:hAnsi="XO Thames"/>
      <w:b w:val="1"/>
      <w:sz w:val="24"/>
    </w:rPr>
  </w:style>
  <w:style w:styleId="Style_21" w:type="paragraph">
    <w:name w:val="heading 2"/>
    <w:next w:val="Style_1"/>
    <w:link w:val="Style_21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1_ch" w:type="character">
    <w:name w:val="heading 2"/>
    <w:link w:val="Style_21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MyOffice-CoreFramework-Linux/38-1384.1107.10199.1019.1@18975027e3ee4b688e27426d4a78178cb841a344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2026-05-23T07:24:07Z</dcterms:created>
  <dcterms:modified xsi:type="dcterms:W3CDTF">2026-05-23T07:24:07Z</dcterms:modified>
</cp:coreProperties>
</file>