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Answer Key - Chartered Accountancy</w:t>
      </w:r>
    </w:p>
    <w:p>
      <w:r>
        <w:t>1. Explain the difference between capital expenditure and revenue expenditure. Provide one example of each.</w:t>
      </w:r>
    </w:p>
    <w:p>
      <w:r>
        <w:t>Answer: Capital expenditure creates long-term benefits and is capitalized; example: purchase of machinery. Revenue expenditure is for day-to-day operations and is expensed in the current period; example: repair and maintenance.</w:t>
      </w:r>
    </w:p>
    <w:p>
      <w:r>
        <w:t>2. Describe the key steps in the GST input tax credit claim process for a registered business.</w:t>
      </w:r>
    </w:p>
    <w:p>
      <w:r>
        <w:t>Answer: The business must possess a valid tax invoice, ensure the goods/services are eligible, file the GST return, match the input credit in the return, and maintain supporting records.</w:t>
      </w:r>
    </w:p>
    <w:p>
      <w:r>
        <w:t>3. Calculate depreciation for machinery purchased for ₹120,000 on 1 April using the straight-line method at 10% per annum for the first year.</w:t>
      </w:r>
    </w:p>
    <w:p>
      <w:r>
        <w:t>Answer: Depreciation = ₹120,000 × 10% = ₹12,000 for the first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