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 Rubric - Chartered Accountancy Quiz</w:t>
      </w:r>
    </w:p>
    <w:p>
      <w:r>
        <w:t>Total marks: 25</w:t>
      </w:r>
    </w:p>
    <w:p>
      <w:r>
        <w:t>Question 1 (10 marks):</w:t>
      </w:r>
    </w:p>
    <w:p>
      <w:r>
        <w:t>- 5 marks for correctly defining capital expenditure and revenue expenditure</w:t>
      </w:r>
    </w:p>
    <w:p>
      <w:r>
        <w:t>- 5 marks for giving one appropriate example of each</w:t>
      </w:r>
    </w:p>
    <w:p>
      <w:r>
        <w:t>Question 2 (8 marks):</w:t>
      </w:r>
    </w:p>
    <w:p>
      <w:r>
        <w:t>- 2 marks for identifying the tax invoice requirement</w:t>
      </w:r>
    </w:p>
    <w:p>
      <w:r>
        <w:t>- 2 marks for explaining GST return filing and credit matching</w:t>
      </w:r>
    </w:p>
    <w:p>
      <w:r>
        <w:t>- 2 marks for confirming eligibility of goods/services</w:t>
      </w:r>
    </w:p>
    <w:p>
      <w:r>
        <w:t>- 2 marks for maintaining supporting records</w:t>
      </w:r>
    </w:p>
    <w:p>
      <w:r>
        <w:t>Question 3 (7 marks):</w:t>
      </w:r>
    </w:p>
    <w:p>
      <w:r>
        <w:t>- 4 marks for applying the straight-line depreciation formula</w:t>
      </w:r>
    </w:p>
    <w:p>
      <w:r>
        <w:t>- 3 marks for calculating the correct amount of ₹12,000</w:t>
      </w:r>
    </w:p>
    <w:p>
      <w:r>
        <w:t>Set `needs_human_review` to true if the answer is ambiguous, if the arithmetic is inconsistent, or if the document is partially unreadable.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