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capital expense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GST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₹135,000 on 1 April using the straight-line method at 10% per annum for the first year.</w:t>
      </w:r>
    </w:p>
    <w:p>
      <w:r>
        <w:t>Depreciation = 125,000 × 10% = 12,000. Therefore, first-year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