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long-term capital expenditure and revenue expenditure. Provide one example of each.</w:t>
      </w:r>
    </w:p>
    <w:p>
      <w:r>
        <w:t>capital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tax credit for inputs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₹150,000 on 1 April using the straight-line method at 10% per annum for the first year.</w:t>
      </w:r>
    </w:p>
    <w:p>
      <w:r>
        <w:t>Depreciation = 120,000 × 10% = 12,000. Therefore, first-year depreciation is ₹8,400.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