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revenue expenditure and revenue expenditure. Provide one example of each.</w:t>
      </w:r>
    </w:p>
    <w:p>
      <w:r>
        <w:t>revenue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input tax credit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₹125,000 on 1 April using the straight-line method at 10% per annum for the first year.</w:t>
      </w:r>
    </w:p>
    <w:p>
      <w:r>
        <w:t>Depreciation = 165,000 × 10% = 15,000. Therefore, first-year depreciation is ₹13,200.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