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Quiz - STU001</w:t>
      </w:r>
    </w:p>
    <w:p>
      <w:r>
        <w:t>1. Explain the difference between capital expenditure and revenue expenditure. Provide one example of each.</w:t>
      </w:r>
    </w:p>
    <w:p>
      <w:r>
        <w:t>revenue expenditure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input tax credit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₹100,000 on 1 April using the straight-line method at 10% per annum for the first year.</w:t>
      </w:r>
    </w:p>
    <w:p>
      <w:r>
        <w:t>Depreciation = 135,000 × 10% = 15,000. Therefore, first-year depreciation is ₹15,000.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