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Quiz - STU001</w:t>
      </w:r>
    </w:p>
    <w:p>
      <w:r>
        <w:t>1. Explain the difference between capital expenditure and revenue expenditure. Provide one example of each.</w:t>
      </w:r>
    </w:p>
    <w:p>
      <w:r>
        <w:t>long-term capital expenditure is a cost that provides benefits beyond the current accounting period and is capitalized as an asset. Example: purchase of a new machine. Revenue expenditure is an expense for operational activities and is charged in the current period. Example: repair and maintenance expense.</w:t>
      </w:r>
    </w:p>
    <w:p>
      <w:r>
        <w:t>2. Describe the key steps in the input tax credit claim process for a registered business.</w:t>
      </w:r>
    </w:p>
    <w:p>
      <w:r>
        <w:t>The business should obtain a valid tax invoice, verify the eligibility of the purchase, report the amount in the GST return, match the credit with output tax, and retain the invoices and returns for audit.</w:t>
      </w:r>
    </w:p>
    <w:p>
      <w:r>
        <w:t>3. Calculate depreciation for machinery purchased for ₹88,000 on 1 April using the straight-line method at 10% per annum for the first year.</w:t>
      </w:r>
    </w:p>
    <w:p>
      <w:r>
        <w:t>Depreciation = 84,000 × 10% = 12,000. Therefore, first-year depreciation is ₹12,000.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