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Quiz - STU002</w:t>
      </w:r>
    </w:p>
    <w:p>
      <w:r>
        <w:t>1. Explain the difference between capital expenditure and revenue expenditure. Provide one example of each.</w:t>
      </w:r>
    </w:p>
    <w:p>
      <w:r>
        <w:t>Capital expenditure is a cost that benefits more than one year, and revenue expenditure is a cost for ongoing business operations. Example of capital expenditure: new furniture. Example of revenue expenditure: salary payment.</w:t>
      </w:r>
    </w:p>
    <w:p>
      <w:r>
        <w:t>2. Describe the key steps in the GST input tax credit claim process for a registered business.</w:t>
      </w:r>
    </w:p>
    <w:p>
      <w:r>
        <w:t>To claim input tax credit, a registered business must have an invoice, file its GST return, and ensure purchases are eligible. The business must also keep supporting documents for the claim.</w:t>
      </w:r>
    </w:p>
    <w:p>
      <w:r>
        <w:t>3. Calculate depreciation for machinery purchased for ₹120,000 on 1 April using the straight-line method at 10% per annum for the first year.</w:t>
      </w:r>
    </w:p>
    <w:p>
      <w:r>
        <w:t>Using straight-line method: 120,000 × 10% = 12,000. So depreciation is ₹12,000.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