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24"/>
        </w:rPr>
        <w:t>DA4022 — Course Project Proposal</w:t>
      </w:r>
    </w:p>
    <w:p>
      <w:pPr>
        <w:spacing w:after="200"/>
        <w:jc w:val="center"/>
      </w:pPr>
      <w:r>
        <w:rPr>
          <w:b/>
          <w:i w:val="0"/>
          <w:sz w:val="26"/>
        </w:rPr>
        <w:t>How Much PENCIL Can You Afford? Compute-Allocation Laws for Link Prediction</w:t>
      </w:r>
    </w:p>
    <w:p>
      <w:pPr>
        <w:spacing w:after="60"/>
      </w:pPr>
      <w:r>
        <w:rPr>
          <w:b/>
          <w:i w:val="0"/>
          <w:sz w:val="20"/>
        </w:rPr>
        <w:t xml:space="preserve">Team: </w:t>
      </w:r>
      <w:r>
        <w:rPr>
          <w:b w:val="0"/>
          <w:i w:val="0"/>
          <w:sz w:val="20"/>
        </w:rPr>
        <w:t>Arnav Kshirsagar · Amit Kumar · Ashmit Satpute · Pranav Shalya · Atharv Wankhede</w:t>
      </w:r>
    </w:p>
    <w:p>
      <w:pPr>
        <w:spacing w:after="240"/>
      </w:pPr>
      <w:r>
        <w:rPr>
          <w:b/>
          <w:i w:val="0"/>
          <w:sz w:val="20"/>
        </w:rPr>
        <w:t xml:space="preserve">Type: </w:t>
      </w:r>
      <w:r>
        <w:rPr>
          <w:b w:val="0"/>
          <w:i w:val="0"/>
          <w:sz w:val="20"/>
        </w:rPr>
        <w:t xml:space="preserve">Self-proposed, extending our paper presentation — </w:t>
      </w:r>
      <w:r>
        <w:rPr>
          <w:b w:val="0"/>
          <w:i/>
          <w:sz w:val="20"/>
        </w:rPr>
        <w:t>Plain Transformers are Surprisingly Powerful Link Predictors</w:t>
      </w:r>
      <w:r>
        <w:rPr>
          <w:b w:val="0"/>
          <w:i w:val="0"/>
          <w:sz w:val="20"/>
        </w:rPr>
        <w:t xml:space="preserve"> (PENCIL, ICML 2026). Closest anchor: #2.</w:t>
      </w:r>
    </w:p>
    <w:p>
      <w:pPr>
        <w:spacing w:after="160"/>
      </w:pPr>
      <w:r>
        <w:rPr>
          <w:b w:val="0"/>
          <w:i w:val="0"/>
          <w:sz w:val="22"/>
        </w:rPr>
        <w:t xml:space="preserve">PENCIL matches heuristic-informed GNNs at link prediction using a plain Transformer over sampled subgraphs. Its accuracy, though, is bought with compute: Section 7 states that “its GPU compute and memory scale linearly with the number of candidate links,” and the authors name resource-efficient variants as future work. Expressive power likewise rises with the sampling budget, so quality is capped by what one can afford </w:t>
      </w:r>
      <w:r>
        <w:rPr>
          <w:b w:val="0"/>
          <w:i/>
          <w:sz w:val="22"/>
        </w:rPr>
        <w:t>per edge</w:t>
      </w:r>
      <w:r>
        <w:rPr>
          <w:b w:val="0"/>
          <w:i w:val="0"/>
          <w:sz w:val="22"/>
        </w:rPr>
        <w:t>. Neither the cost of a prediction, nor the accuracy that cost buys, is ever reported as a first-class result.</w:t>
      </w:r>
    </w:p>
    <w:p>
      <w:pPr>
        <w:spacing w:after="160"/>
      </w:pPr>
      <w:r>
        <w:rPr>
          <w:b w:val="0"/>
          <w:i w:val="0"/>
          <w:sz w:val="22"/>
        </w:rPr>
        <w:t xml:space="preserve">We propose to supply that analysis. Production retrieval systems never score every candidate with an expensive model: a cheap stage shortlists candidates and the expensive model re-ranks the top </w:t>
      </w:r>
      <w:r>
        <w:rPr>
          <w:b w:val="0"/>
          <w:i/>
          <w:sz w:val="22"/>
        </w:rPr>
        <w:t>k</w:t>
      </w:r>
      <w:r>
        <w:rPr>
          <w:b w:val="0"/>
          <w:i w:val="0"/>
          <w:sz w:val="22"/>
        </w:rPr>
        <w:t xml:space="preserve">. PENCIL’s authors suggest exactly this hybrid, citing ContextGNN, and never test it. We will build it — Adamic–Adar as the first stage, PENCIL as the re-ranker — then treat inference as a budget-allocation problem between </w:t>
      </w:r>
      <w:r>
        <w:rPr>
          <w:b w:val="0"/>
          <w:i/>
          <w:sz w:val="22"/>
        </w:rPr>
        <w:t>k</w:t>
      </w:r>
      <w:r>
        <w:rPr>
          <w:b w:val="0"/>
          <w:i w:val="0"/>
          <w:sz w:val="22"/>
        </w:rPr>
        <w:t xml:space="preserve">, the number of candidates re-ranked, and </w:t>
      </w:r>
      <w:r>
        <w:rPr>
          <w:b w:val="0"/>
          <w:i/>
          <w:sz w:val="22"/>
        </w:rPr>
        <w:t>s</w:t>
      </w:r>
      <w:r>
        <w:rPr>
          <w:b w:val="0"/>
          <w:i w:val="0"/>
          <w:sz w:val="22"/>
        </w:rPr>
        <w:t>, the sampling budget each one receives. Under a fixed budget, is it better to re-rank many candidates shallowly or few deeply? We will sweep both on cora, citeseer and ogbl-collab, measuring accuracy against latency and peak memory, map the accuracy-versus-cost Pareto frontier, and fit a rule for choosing (</w:t>
      </w:r>
      <w:r>
        <w:rPr>
          <w:b w:val="0"/>
          <w:i/>
          <w:sz w:val="22"/>
        </w:rPr>
        <w:t>k</w:t>
      </w:r>
      <w:r>
        <w:rPr>
          <w:b w:val="0"/>
          <w:i w:val="0"/>
          <w:sz w:val="22"/>
        </w:rPr>
        <w:t xml:space="preserve">, </w:t>
      </w:r>
      <w:r>
        <w:rPr>
          <w:b w:val="0"/>
          <w:i/>
          <w:sz w:val="22"/>
        </w:rPr>
        <w:t>s</w:t>
      </w:r>
      <w:r>
        <w:rPr>
          <w:b w:val="0"/>
          <w:i w:val="0"/>
          <w:sz w:val="22"/>
        </w:rPr>
        <w:t>) which we then test on a graph it was not fitted on.</w:t>
      </w:r>
    </w:p>
    <w:p>
      <w:pPr>
        <w:spacing w:after="160"/>
      </w:pPr>
      <w:r>
        <w:rPr>
          <w:b w:val="0"/>
          <w:i w:val="0"/>
          <w:sz w:val="22"/>
        </w:rPr>
        <w:t xml:space="preserve">Feasibility is already established: we have reproduced the paper’s cora result — test MRR </w:t>
      </w:r>
      <w:r>
        <w:rPr>
          <w:b/>
          <w:i w:val="0"/>
          <w:sz w:val="22"/>
        </w:rPr>
        <w:t>44.00</w:t>
      </w:r>
      <w:r>
        <w:rPr>
          <w:b w:val="0"/>
          <w:i w:val="0"/>
          <w:sz w:val="22"/>
        </w:rPr>
        <w:t xml:space="preserve"> against the published </w:t>
      </w:r>
      <w:r>
        <w:rPr>
          <w:b/>
          <w:i w:val="0"/>
          <w:sz w:val="22"/>
        </w:rPr>
        <w:t>42.23</w:t>
      </w:r>
      <w:r>
        <w:rPr>
          <w:b w:val="0"/>
          <w:i w:val="0"/>
          <w:sz w:val="22"/>
        </w:rPr>
        <w:t xml:space="preserve"> — in 3.2 hours on a single free Kaggle T4, where the authors used four to eight A100-class GPUs. We hold the trained checkpoint, and the </w:t>
      </w:r>
      <w:r>
        <w:rPr>
          <w:b w:val="0"/>
          <w:i/>
          <w:sz w:val="22"/>
        </w:rPr>
        <w:t>k</w:t>
      </w:r>
      <w:r>
        <w:rPr>
          <w:b w:val="0"/>
          <w:i w:val="0"/>
          <w:sz w:val="22"/>
        </w:rPr>
        <w:t xml:space="preserve"> axis needs no retraining, since the number of candidates re-ranked is purely an inference choice.</w:t>
      </w:r>
    </w:p>
    <w:p>
      <w:pPr>
        <w:spacing w:after="0"/>
      </w:pPr>
      <w:r>
        <w:rPr>
          <w:b w:val="0"/>
          <w:i/>
          <w:sz w:val="20"/>
        </w:rPr>
        <w:t xml:space="preserve">As this is a self-proposed project, we would be grateful for your approval. Should self-proposed projects not be permitted, we would like this registered under </w:t>
      </w:r>
      <w:r>
        <w:rPr>
          <w:b/>
          <w:i/>
          <w:sz w:val="20"/>
        </w:rPr>
        <w:t>anchor 2 (task-dependent compute allocation laws)</w:t>
      </w:r>
      <w:r>
        <w:rPr>
          <w:b w:val="0"/>
          <w:i/>
          <w:sz w:val="20"/>
        </w:rPr>
        <w:t>, which this project directly addresses — it derives exactly such a law, for link prediction, on the inference budget.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