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Close Reading Worksheet: Primary Texts</w:t>
      </w:r>
    </w:p>
    <w:bookmarkStart w:id="15" w:name="close-reading-worksheet-primary-texts"/>
    <w:p>
      <w:pPr>
        <w:pStyle w:val="Heading1"/>
      </w:pPr>
      <w:r>
        <w:t xml:space="preserve">Close Reading Worksheet: Primary Texts</w:t>
      </w:r>
    </w:p>
    <w:p>
      <w:pPr>
        <w:pStyle w:val="FirstParagraph"/>
      </w:pPr>
      <w:r>
        <w:t xml:space="preserve">This worksheet guides close reading of four passages drawn from the HIST 1B syllabus. For each passage, complete the five numbered prompts. Aim for 80–150 words per prompt. Bring completed worksheets to section; TAs will use them as the basis for discussion.</w:t>
      </w:r>
    </w:p>
    <w:bookmarkStart w:id="9" w:name="what-close-reading-is"/>
    <w:p>
      <w:pPr>
        <w:pStyle w:val="Heading2"/>
      </w:pPr>
      <w:r>
        <w:t xml:space="preserve">What Close Reading Is</w:t>
      </w:r>
    </w:p>
    <w:p>
      <w:pPr>
        <w:pStyle w:val="FirstParagraph"/>
      </w:pPr>
      <w:r>
        <w:t xml:space="preserve">Close reading treats a text as an object with internal tensions, not as a transparent window onto an author’s intention. You are looking for: word choice (diction), sentence rhythm (syntax), figurative language (tropes), the arrangement of ideas (structure), and the gap between what the speaker asserts and what the passage enacts.</w:t>
      </w:r>
    </w:p>
    <w:bookmarkEnd w:id="9"/>
    <w:bookmarkStart w:id="10" w:name="X2bd468eed2f8c0cc6a2baf036350e092f04ee0f"/>
    <w:p>
      <w:pPr>
        <w:pStyle w:val="Heading2"/>
      </w:pPr>
      <w:r>
        <w:t xml:space="preserve">Passage 1 — Petrarch,</w:t>
      </w:r>
      <w:r>
        <w:t xml:space="preserve"> </w:t>
      </w:r>
      <w:r>
        <w:rPr>
          <w:i/>
          <w:iCs/>
        </w:rPr>
        <w:t xml:space="preserve">Ascent of Mont Ventoux</w:t>
      </w:r>
      <w:r>
        <w:t xml:space="preserve"> </w:t>
      </w:r>
      <w:r>
        <w:t xml:space="preserve">(c. 1336)</w:t>
      </w:r>
    </w:p>
    <w:p>
      <w:pPr>
        <w:pStyle w:val="BlockText"/>
      </w:pPr>
      <w:r>
        <w:t xml:space="preserve">“Today I climbed the highest mountain in this region, which is not improperly called Ventosum, moved solely by the desire to see its conspicuous height.”</w:t>
      </w:r>
    </w:p>
    <w:p>
      <w:pPr>
        <w:pStyle w:val="Compact"/>
        <w:numPr>
          <w:ilvl w:val="0"/>
          <w:numId w:val="1001"/>
        </w:numPr>
      </w:pPr>
      <w:r>
        <w:t xml:space="preserve">What is the literal event? What is the allegorical event?</w:t>
      </w:r>
    </w:p>
    <w:p>
      <w:pPr>
        <w:pStyle w:val="Compact"/>
        <w:numPr>
          <w:ilvl w:val="0"/>
          <w:numId w:val="1001"/>
        </w:numPr>
      </w:pPr>
      <w:r>
        <w:t xml:space="preserve">How does Petrarch’s quotation of Augustine’s</w:t>
      </w:r>
      <w:r>
        <w:t xml:space="preserve"> </w:t>
      </w:r>
      <w:r>
        <w:rPr>
          <w:i/>
          <w:iCs/>
        </w:rPr>
        <w:t xml:space="preserve">Confessions</w:t>
      </w:r>
      <w:r>
        <w:t xml:space="preserve"> </w:t>
      </w:r>
      <w:r>
        <w:t xml:space="preserve">X.8 reframe the climb?</w:t>
      </w:r>
    </w:p>
    <w:p>
      <w:pPr>
        <w:pStyle w:val="Compact"/>
        <w:numPr>
          <w:ilvl w:val="0"/>
          <w:numId w:val="1001"/>
        </w:numPr>
      </w:pPr>
      <w:r>
        <w:t xml:space="preserve">Identify two moments where the narrator corrects his own motives.</w:t>
      </w:r>
    </w:p>
    <w:p>
      <w:pPr>
        <w:pStyle w:val="Compact"/>
        <w:numPr>
          <w:ilvl w:val="0"/>
          <w:numId w:val="1001"/>
        </w:numPr>
      </w:pPr>
      <w:r>
        <w:t xml:space="preserve">How does the landscape serve as a mirror for the soul?</w:t>
      </w:r>
    </w:p>
    <w:p>
      <w:pPr>
        <w:pStyle w:val="Compact"/>
        <w:numPr>
          <w:ilvl w:val="0"/>
          <w:numId w:val="1001"/>
        </w:numPr>
      </w:pPr>
      <w:r>
        <w:t xml:space="preserve">What does this passage tell us about the</w:t>
      </w:r>
      <w:r>
        <w:t xml:space="preserve"> </w:t>
      </w:r>
      <w:r>
        <w:t xml:space="preserve">“invention”</w:t>
      </w:r>
      <w:r>
        <w:t xml:space="preserve"> </w:t>
      </w:r>
      <w:r>
        <w:t xml:space="preserve">of inwardness in the Renaissance?</w:t>
      </w:r>
    </w:p>
    <w:bookmarkEnd w:id="10"/>
    <w:bookmarkStart w:id="11" w:name="passage-2-montaigne-of-cannibals-1580"/>
    <w:p>
      <w:pPr>
        <w:pStyle w:val="Heading2"/>
      </w:pPr>
      <w:r>
        <w:t xml:space="preserve">Passage 2 — Montaigne,</w:t>
      </w:r>
      <w:r>
        <w:t xml:space="preserve"> </w:t>
      </w:r>
      <w:r>
        <w:t xml:space="preserve">“Of Cannibals”</w:t>
      </w:r>
      <w:r>
        <w:t xml:space="preserve"> </w:t>
      </w:r>
      <w:r>
        <w:t xml:space="preserve">(1580)</w:t>
      </w:r>
    </w:p>
    <w:p>
      <w:pPr>
        <w:pStyle w:val="BlockText"/>
      </w:pPr>
      <w:r>
        <w:t xml:space="preserve">“I find that there is nothing barbarous and savage in this nation, by anything that I can gather, excepting, that every one gives the title of barbarism to everything that is not in use in his own country.”</w:t>
      </w:r>
    </w:p>
    <w:p>
      <w:pPr>
        <w:pStyle w:val="Compact"/>
        <w:numPr>
          <w:ilvl w:val="0"/>
          <w:numId w:val="1002"/>
        </w:numPr>
      </w:pPr>
      <w:r>
        <w:t xml:space="preserve">Who is the</w:t>
      </w:r>
      <w:r>
        <w:t xml:space="preserve"> </w:t>
      </w:r>
      <w:r>
        <w:t xml:space="preserve">“I”</w:t>
      </w:r>
      <w:r>
        <w:t xml:space="preserve"> </w:t>
      </w:r>
      <w:r>
        <w:t xml:space="preserve">of the essay, and what is his epistemic authority?</w:t>
      </w:r>
    </w:p>
    <w:p>
      <w:pPr>
        <w:pStyle w:val="Compact"/>
        <w:numPr>
          <w:ilvl w:val="0"/>
          <w:numId w:val="1002"/>
        </w:numPr>
      </w:pPr>
      <w:r>
        <w:t xml:space="preserve">Identify the rhetorical move that Montaigne uses to relativize European claims to civilization.</w:t>
      </w:r>
    </w:p>
    <w:p>
      <w:pPr>
        <w:pStyle w:val="Compact"/>
        <w:numPr>
          <w:ilvl w:val="0"/>
          <w:numId w:val="1002"/>
        </w:numPr>
      </w:pPr>
      <w:r>
        <w:t xml:space="preserve">How does the encounter with Tupinambá visitors in Rouen (1562) structure the argument?</w:t>
      </w:r>
    </w:p>
    <w:p>
      <w:pPr>
        <w:pStyle w:val="Compact"/>
        <w:numPr>
          <w:ilvl w:val="0"/>
          <w:numId w:val="1002"/>
        </w:numPr>
      </w:pPr>
      <w:r>
        <w:t xml:space="preserve">Where does Montaigne’s critique stop? What does he still take for granted?</w:t>
      </w:r>
    </w:p>
    <w:p>
      <w:pPr>
        <w:pStyle w:val="Compact"/>
        <w:numPr>
          <w:ilvl w:val="0"/>
          <w:numId w:val="1002"/>
        </w:numPr>
      </w:pPr>
      <w:r>
        <w:t xml:space="preserve">How does this anticipate later Enlightenment critique of colonial violence?</w:t>
      </w:r>
    </w:p>
    <w:bookmarkEnd w:id="11"/>
    <w:bookmarkStart w:id="12" w:name="Xfd63896b0b6ae3aabaa9ff500117aff95125210"/>
    <w:p>
      <w:pPr>
        <w:pStyle w:val="Heading2"/>
      </w:pPr>
      <w:r>
        <w:t xml:space="preserve">Passage 3 — Wollstonecraft,</w:t>
      </w:r>
      <w:r>
        <w:t xml:space="preserve"> </w:t>
      </w:r>
      <w:r>
        <w:rPr>
          <w:i/>
          <w:iCs/>
        </w:rPr>
        <w:t xml:space="preserve">A Vindication of the Rights of Woman</w:t>
      </w:r>
      <w:r>
        <w:t xml:space="preserve"> </w:t>
      </w:r>
      <w:r>
        <w:t xml:space="preserve">(1792)</w:t>
      </w:r>
    </w:p>
    <w:p>
      <w:pPr>
        <w:pStyle w:val="BlockText"/>
      </w:pPr>
      <w:r>
        <w:t xml:space="preserve">“I do not wish them to have power over men; but over themselves.”</w:t>
      </w:r>
    </w:p>
    <w:p>
      <w:pPr>
        <w:pStyle w:val="Compact"/>
        <w:numPr>
          <w:ilvl w:val="0"/>
          <w:numId w:val="1003"/>
        </w:numPr>
      </w:pPr>
      <w:r>
        <w:t xml:space="preserve">Against whom is Wollstonecraft arguing? Name at least two targets.</w:t>
      </w:r>
    </w:p>
    <w:p>
      <w:pPr>
        <w:pStyle w:val="Compact"/>
        <w:numPr>
          <w:ilvl w:val="0"/>
          <w:numId w:val="1003"/>
        </w:numPr>
      </w:pPr>
      <w:r>
        <w:t xml:space="preserve">How does her argument extend Lockean natural rights to women?</w:t>
      </w:r>
    </w:p>
    <w:p>
      <w:pPr>
        <w:pStyle w:val="Compact"/>
        <w:numPr>
          <w:ilvl w:val="0"/>
          <w:numId w:val="1003"/>
        </w:numPr>
      </w:pPr>
      <w:r>
        <w:t xml:space="preserve">Identify a sentence where she deploys irony against Rousseau’s</w:t>
      </w:r>
      <w:r>
        <w:t xml:space="preserve"> </w:t>
      </w:r>
      <w:r>
        <w:rPr>
          <w:i/>
          <w:iCs/>
        </w:rPr>
        <w:t xml:space="preserve">Émile</w:t>
      </w:r>
      <w:r>
        <w:t xml:space="preserve"> </w:t>
      </w:r>
      <w:r>
        <w:t xml:space="preserve">(1762).</w:t>
      </w:r>
    </w:p>
    <w:p>
      <w:pPr>
        <w:pStyle w:val="Compact"/>
        <w:numPr>
          <w:ilvl w:val="0"/>
          <w:numId w:val="1003"/>
        </w:numPr>
      </w:pPr>
      <w:r>
        <w:t xml:space="preserve">What does</w:t>
      </w:r>
      <w:r>
        <w:t xml:space="preserve"> </w:t>
      </w:r>
      <w:r>
        <w:t xml:space="preserve">“reason”</w:t>
      </w:r>
      <w:r>
        <w:t xml:space="preserve"> </w:t>
      </w:r>
      <w:r>
        <w:t xml:space="preserve">do in this passage that</w:t>
      </w:r>
      <w:r>
        <w:t xml:space="preserve"> </w:t>
      </w:r>
      <w:r>
        <w:t xml:space="preserve">“sentiment”</w:t>
      </w:r>
      <w:r>
        <w:t xml:space="preserve"> </w:t>
      </w:r>
      <w:r>
        <w:t xml:space="preserve">cannot?</w:t>
      </w:r>
    </w:p>
    <w:p>
      <w:pPr>
        <w:pStyle w:val="Compact"/>
        <w:numPr>
          <w:ilvl w:val="0"/>
          <w:numId w:val="1003"/>
        </w:numPr>
      </w:pPr>
      <w:r>
        <w:t xml:space="preserve">What are the limits of her universalism? (Consider class and race.)</w:t>
      </w:r>
    </w:p>
    <w:bookmarkEnd w:id="12"/>
    <w:bookmarkStart w:id="13" w:name="X6ab1ee1440f2f29d726a825ff5c61696ae6b90b"/>
    <w:p>
      <w:pPr>
        <w:pStyle w:val="Heading2"/>
      </w:pPr>
      <w:r>
        <w:t xml:space="preserve">Passage 4 — Fanon,</w:t>
      </w:r>
      <w:r>
        <w:t xml:space="preserve"> </w:t>
      </w:r>
      <w:r>
        <w:rPr>
          <w:i/>
          <w:iCs/>
        </w:rPr>
        <w:t xml:space="preserve">The Wretched of the Earth</w:t>
      </w:r>
      <w:r>
        <w:t xml:space="preserve"> </w:t>
      </w:r>
      <w:r>
        <w:t xml:space="preserve">(1961)</w:t>
      </w:r>
    </w:p>
    <w:p>
      <w:pPr>
        <w:pStyle w:val="BlockText"/>
      </w:pPr>
      <w:r>
        <w:t xml:space="preserve">“Decolonization is always a violent phenomenon.”</w:t>
      </w:r>
    </w:p>
    <w:p>
      <w:pPr>
        <w:pStyle w:val="Compact"/>
        <w:numPr>
          <w:ilvl w:val="0"/>
          <w:numId w:val="1004"/>
        </w:numPr>
      </w:pPr>
      <w:r>
        <w:t xml:space="preserve">What definition of decolonization is Fanon advancing?</w:t>
      </w:r>
    </w:p>
    <w:p>
      <w:pPr>
        <w:pStyle w:val="Compact"/>
        <w:numPr>
          <w:ilvl w:val="0"/>
          <w:numId w:val="1004"/>
        </w:numPr>
      </w:pPr>
      <w:r>
        <w:t xml:space="preserve">How does his opening sentence function as both diagnosis and provocation?</w:t>
      </w:r>
    </w:p>
    <w:p>
      <w:pPr>
        <w:pStyle w:val="Compact"/>
        <w:numPr>
          <w:ilvl w:val="0"/>
          <w:numId w:val="1004"/>
        </w:numPr>
      </w:pPr>
      <w:r>
        <w:t xml:space="preserve">Trace the Manichean structure of the colonial world as Fanon describes it.</w:t>
      </w:r>
    </w:p>
    <w:p>
      <w:pPr>
        <w:pStyle w:val="Compact"/>
        <w:numPr>
          <w:ilvl w:val="0"/>
          <w:numId w:val="1004"/>
        </w:numPr>
      </w:pPr>
      <w:r>
        <w:t xml:space="preserve">Where does Sartre’s preface complicate or reinforce Fanon’s claims?</w:t>
      </w:r>
    </w:p>
    <w:p>
      <w:pPr>
        <w:pStyle w:val="Compact"/>
        <w:numPr>
          <w:ilvl w:val="0"/>
          <w:numId w:val="1004"/>
        </w:numPr>
      </w:pPr>
      <w:r>
        <w:t xml:space="preserve">How does this passage answer — or refuse — Enlightenment universalism?</w:t>
      </w:r>
    </w:p>
    <w:bookmarkEnd w:id="13"/>
    <w:bookmarkStart w:id="14" w:name="submission"/>
    <w:p>
      <w:pPr>
        <w:pStyle w:val="Heading2"/>
      </w:pPr>
      <w:r>
        <w:t xml:space="preserve">Submission</w:t>
      </w:r>
    </w:p>
    <w:p>
      <w:pPr>
        <w:pStyle w:val="FirstParagraph"/>
      </w:pPr>
      <w:r>
        <w:t xml:space="preserve">Submit via Canvas by Thursday 11:59 PM. Length: 1,600–3,000 words total.</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 Reading Worksheet: Primary Texts</dc:title>
  <dc:creator/>
  <dc:description>Structured worksheet of close-reading prompts for primary texts spanning Petrarch, Montaigne, Wollstonecraft, and Fanon.</dc:description>
  <cp:keywords/>
  <dcterms:created xsi:type="dcterms:W3CDTF">2026-04-21T02:49:22Z</dcterms:created>
  <dcterms:modified xsi:type="dcterms:W3CDTF">2026-04-21T02:49:22Z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role">
    <vt:lpwstr>bot</vt:lpwstr>
  </property>
  <property fmtid="{D5CDD505-2E9C-101B-9397-08002B2CF9AE}" pid="3" name="course">
    <vt:lpwstr>stanford/hist1b</vt:lpwstr>
  </property>
  <property fmtid="{D5CDD505-2E9C-101B-9397-08002B2CF9AE}" pid="4" name="filename">
    <vt:lpwstr>close-reading-worksheet.docx</vt:lpwstr>
  </property>
  <property fmtid="{D5CDD505-2E9C-101B-9397-08002B2CF9AE}" pid="5" name="mime">
    <vt:lpwstr>application/vnd.openxmlformats-officedocument.wordprocessingml.document</vt:lpwstr>
  </property>
  <property fmtid="{D5CDD505-2E9C-101B-9397-08002B2CF9AE}" pid="6" name="slug">
    <vt:lpwstr>stanford-hist1b-close-reading-worksheet</vt:lpwstr>
  </property>
</Properties>
</file>