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Показатели укомплектованности 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3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______________________________________________________________________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2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(наименование организации здравоохранения)           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«___» _________________ 20____г. </w:t>
      </w:r>
    </w:p>
    <w:p w:rsidR="00000000" w:rsidDel="00000000" w:rsidP="00000000" w:rsidRDefault="00000000" w:rsidRPr="00000000" w14:paraId="00000005">
      <w:pPr>
        <w:spacing w:line="240" w:lineRule="auto"/>
        <w:ind w:left="0" w:hanging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977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9"/>
        <w:gridCol w:w="723"/>
        <w:gridCol w:w="1186"/>
        <w:gridCol w:w="1258"/>
        <w:gridCol w:w="1986"/>
        <w:gridCol w:w="1986"/>
        <w:gridCol w:w="723"/>
        <w:gridCol w:w="1186"/>
        <w:gridCol w:w="1331"/>
        <w:gridCol w:w="1986"/>
        <w:gridCol w:w="2164"/>
        <w:tblGridChange w:id="0">
          <w:tblGrid>
            <w:gridCol w:w="1449"/>
            <w:gridCol w:w="723"/>
            <w:gridCol w:w="1186"/>
            <w:gridCol w:w="1258"/>
            <w:gridCol w:w="1986"/>
            <w:gridCol w:w="1986"/>
            <w:gridCol w:w="723"/>
            <w:gridCol w:w="1186"/>
            <w:gridCol w:w="1331"/>
            <w:gridCol w:w="1986"/>
            <w:gridCol w:w="2164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tabs>
                <w:tab w:val="right" w:leader="none" w:pos="3742"/>
              </w:tabs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Структурное подразделение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должностей врачей, единиц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основных работников врачей на занятых должностях, человек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Укомплектованность врачами-специалистами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Укомплектованность должностей врачей физическими лицами (основные работники)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должностей средних медицинских работников,</w:t>
              <w:br w:type="textWrapping"/>
              <w:t xml:space="preserve">единиц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средних медицинских работников (основных)</w:t>
              <w:br w:type="textWrapping"/>
              <w:t xml:space="preserve">на занятых должностях, человек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Укомплектованность средними медицинскими работниками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Укомплектованность </w:t>
            </w:r>
            <w:r w:rsidDel="00000000" w:rsidR="00000000" w:rsidRPr="00000000">
              <w:rPr>
                <w:rtl w:val="0"/>
              </w:rPr>
              <w:t xml:space="preserve">должностей средних медицинских работников физическими лицами (основные работники)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штату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left="0" w:right="-113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фактически занятых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штату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right="-113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фактически занятых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Всего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right" w:leader="none" w:pos="3742"/>
              </w:tabs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1" w:sz="12" w:val="single"/>
        </w:pBdr>
        <w:spacing w:line="240" w:lineRule="auto"/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Примечание: для расчета показателей используются указания по заполнению формы государственной статистической отчетности 1-организация (Минздрав) «Отчет организации здравоохранения, оказывающей медицинскую помощь в стационарных и амбулаторных условиях», утвержденные постановлением Национального статистического комитета Республики Беларусь от  4 ноября 2022 г. № 110, приказ Министерства здравоохранения Республики Беларусь 25.03.2019 № 363 " Об утверждении примерного перечня основных индикаторов здравоохранения и здоровья населения и методик их расчета».</w:t>
      </w:r>
    </w:p>
    <w:sectPr>
      <w:headerReference r:id="rId6" w:type="default"/>
      <w:pgSz w:h="11906" w:w="16838" w:orient="landscape"/>
      <w:pgMar w:bottom="720" w:top="720" w:left="425" w:right="4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ind w:left="0" w:hanging="2"/>
      <w:jc w:val="center"/>
      <w:rPr>
        <w:color w:val="000000"/>
        <w:sz w:val="22"/>
        <w:szCs w:val="22"/>
      </w:rPr>
    </w:pP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760"/>
      </w:tabs>
      <w:ind w:right="0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tabs>
        <w:tab w:val="right" w:leader="none" w:pos="568"/>
        <w:tab w:val="right" w:leader="none" w:pos="2835"/>
        <w:tab w:val="right" w:leader="none" w:pos="4820"/>
      </w:tabs>
      <w:jc w:val="right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