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Narxlar roʻyxati</w:t>
      </w:r>
    </w:p>
    <w:p>
      <w:pPr>
        <w:spacing w:after="160"/>
      </w:pPr>
      <w:r>
        <w:t xml:space="preserve">Narxlar soʻmda koʻrsatilgan va 2026-yil sentabridan amal qiladi. Yakuniy summa koʻrikdan va suratdan keyin maʼlum boʻladi: ishni boshlashdan oldin uni yozma davolash rejasida qayd etamiz va undan keyin narx oʻzgarmaydi.</w:t>
      </w:r>
    </w:p>
    <w:p>
      <w:pPr>
        <w:pStyle w:val="Heading2"/>
      </w:pPr>
      <w:r>
        <w:t xml:space="preserve">Xizmatlar narxi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Xizmat</w:t>
            </w:r>
          </w:p>
        </w:tc>
        <w:tc>
          <w:p>
            <w:r>
              <w:rPr>
                <w:b/>
                <w:bCs/>
              </w:rPr>
              <w:t xml:space="preserve">Narx</w:t>
            </w:r>
          </w:p>
        </w:tc>
        <w:tc>
          <w:p>
            <w:r>
              <w:rPr>
                <w:b/>
                <w:bCs/>
              </w:rPr>
              <w:t xml:space="preserve">Nimalar kiradi</w:t>
            </w:r>
          </w:p>
        </w:tc>
      </w:tr>
      <w:tr>
        <w:trPr>
          <w:tblHeader w:val="off"/>
        </w:trPr>
        <w:tc>
          <w:p>
            <w:r>
              <w:rPr>
                <w:b w:val="false"/>
                <w:bCs w:val="false"/>
              </w:rPr>
              <w:t xml:space="preserve">Konsultatsiya va davolash rejasi</w:t>
            </w:r>
          </w:p>
        </w:tc>
        <w:tc>
          <w:p>
            <w:r>
              <w:rPr>
                <w:b w:val="false"/>
                <w:bCs w:val="false"/>
              </w:rPr>
              <w:t xml:space="preserve">250 000 soʻm</w:t>
            </w:r>
          </w:p>
        </w:tc>
        <w:tc>
          <w:p>
            <w:r>
              <w:rPr>
                <w:b w:val="false"/>
                <w:bCs w:val="false"/>
              </w:rPr>
              <w:t xml:space="preserve">Koʻrik, muhokama va narxi bilan yozma reja. Bir oy ichida bizda davolanishni boshlasangiz, bu summa hisobdan chegiriladi</w:t>
            </w:r>
          </w:p>
        </w:tc>
      </w:tr>
      <w:tr>
        <w:trPr>
          <w:tblHeader w:val="off"/>
        </w:trPr>
        <w:tc>
          <w:p>
            <w:r>
              <w:rPr>
                <w:b w:val="false"/>
                <w:bCs w:val="false"/>
              </w:rPr>
              <w:t xml:space="preserve">Nuqtali surat</w:t>
            </w:r>
          </w:p>
        </w:tc>
        <w:tc>
          <w:p>
            <w:r>
              <w:rPr>
                <w:b w:val="false"/>
                <w:bCs w:val="false"/>
              </w:rPr>
              <w:t xml:space="preserve">80 000 soʻm</w:t>
            </w:r>
          </w:p>
        </w:tc>
        <w:tc>
          <w:p>
            <w:r>
              <w:rPr>
                <w:b w:val="false"/>
                <w:bCs w:val="false"/>
              </w:rPr>
              <w:t xml:space="preserve">Bitta tish, natija darhol ekranda</w:t>
            </w:r>
          </w:p>
        </w:tc>
      </w:tr>
      <w:tr>
        <w:trPr>
          <w:tblHeader w:val="off"/>
        </w:trPr>
        <w:tc>
          <w:p>
            <w:r>
              <w:rPr>
                <w:b w:val="false"/>
                <w:bCs w:val="false"/>
              </w:rPr>
              <w:t xml:space="preserve">Kompyuter tomografiyasi</w:t>
            </w:r>
          </w:p>
        </w:tc>
        <w:tc>
          <w:p>
            <w:r>
              <w:rPr>
                <w:b w:val="false"/>
                <w:bCs w:val="false"/>
              </w:rPr>
              <w:t xml:space="preserve">350 000 soʻm</w:t>
            </w:r>
          </w:p>
        </w:tc>
        <w:tc>
          <w:p>
            <w:r>
              <w:rPr>
                <w:b w:val="false"/>
                <w:bCs w:val="false"/>
              </w:rPr>
              <w:t xml:space="preserve">Jagʻning hajmli surati, implantatsiya va murakkab kanallardan oldin kerak</w:t>
            </w:r>
          </w:p>
        </w:tc>
      </w:tr>
      <w:tr>
        <w:trPr>
          <w:tblHeader w:val="off"/>
        </w:trPr>
        <w:tc>
          <w:p>
            <w:r>
              <w:rPr>
                <w:b w:val="false"/>
                <w:bCs w:val="false"/>
              </w:rPr>
              <w:t xml:space="preserve">Professional gigiyena</w:t>
            </w:r>
          </w:p>
        </w:tc>
        <w:tc>
          <w:p>
            <w:r>
              <w:rPr>
                <w:b w:val="false"/>
                <w:bCs w:val="false"/>
              </w:rPr>
              <w:t xml:space="preserve">650 000 soʻm</w:t>
            </w:r>
          </w:p>
        </w:tc>
        <w:tc>
          <w:p>
            <w:r>
              <w:rPr>
                <w:b w:val="false"/>
                <w:bCs w:val="false"/>
              </w:rPr>
              <w:t xml:space="preserve">Ultratovush, Air Flow va sayqallash bir soatda</w:t>
            </w:r>
          </w:p>
        </w:tc>
      </w:tr>
      <w:tr>
        <w:trPr>
          <w:tblHeader w:val="off"/>
        </w:trPr>
        <w:tc>
          <w:p>
            <w:r>
              <w:rPr>
                <w:b w:val="false"/>
                <w:bCs w:val="false"/>
              </w:rPr>
              <w:t xml:space="preserve">Karies davolash</w:t>
            </w:r>
          </w:p>
        </w:tc>
        <w:tc>
          <w:p>
            <w:r>
              <w:rPr>
                <w:b w:val="false"/>
                <w:bCs w:val="false"/>
              </w:rPr>
              <w:t xml:space="preserve">900 000 soʻmdan</w:t>
            </w:r>
          </w:p>
        </w:tc>
        <w:tc>
          <w:p>
            <w:r>
              <w:rPr>
                <w:b w:val="false"/>
                <w:bCs w:val="false"/>
              </w:rPr>
              <w:t xml:space="preserve">Yorugʻlikda qotadigan kompozit plomba, ogʻriqsizlantirish kiradi</w:t>
            </w:r>
          </w:p>
        </w:tc>
      </w:tr>
      <w:tr>
        <w:trPr>
          <w:tblHeader w:val="off"/>
        </w:trPr>
        <w:tc>
          <w:p>
            <w:r>
              <w:rPr>
                <w:b w:val="false"/>
                <w:bCs w:val="false"/>
              </w:rPr>
              <w:t xml:space="preserve">Kanallarni davolash</w:t>
            </w:r>
          </w:p>
        </w:tc>
        <w:tc>
          <w:p>
            <w:r>
              <w:rPr>
                <w:b w:val="false"/>
                <w:bCs w:val="false"/>
              </w:rPr>
              <w:t xml:space="preserve">1 800 000 soʻmdan</w:t>
            </w:r>
          </w:p>
        </w:tc>
        <w:tc>
          <w:p>
            <w:r>
              <w:rPr>
                <w:b w:val="false"/>
                <w:bCs w:val="false"/>
              </w:rPr>
              <w:t xml:space="preserve">Mikroskop ostida izolyatsiya bilan, kanallarni bir tashrifda oʻtamiz</w:t>
            </w:r>
          </w:p>
        </w:tc>
      </w:tr>
      <w:tr>
        <w:trPr>
          <w:tblHeader w:val="off"/>
        </w:trPr>
        <w:tc>
          <w:p>
            <w:r>
              <w:rPr>
                <w:b w:val="false"/>
                <w:bCs w:val="false"/>
              </w:rPr>
              <w:t xml:space="preserve">Tish olish</w:t>
            </w:r>
          </w:p>
        </w:tc>
        <w:tc>
          <w:p>
            <w:r>
              <w:rPr>
                <w:b w:val="false"/>
                <w:bCs w:val="false"/>
              </w:rPr>
              <w:t xml:space="preserve">700 000 soʻmdan</w:t>
            </w:r>
          </w:p>
        </w:tc>
        <w:tc>
          <w:p>
            <w:r>
              <w:rPr>
                <w:b w:val="false"/>
                <w:bCs w:val="false"/>
              </w:rPr>
              <w:t xml:space="preserve">Oddiy olish. Murakkab va aql tishlari — 2 500 000 gacha</w:t>
            </w:r>
          </w:p>
        </w:tc>
      </w:tr>
      <w:tr>
        <w:trPr>
          <w:tblHeader w:val="off"/>
        </w:trPr>
        <w:tc>
          <w:p>
            <w:r>
              <w:rPr>
                <w:b w:val="false"/>
                <w:bCs w:val="false"/>
              </w:rPr>
              <w:t xml:space="preserve">Bitta tish implantatsiyasi</w:t>
            </w:r>
          </w:p>
        </w:tc>
        <w:tc>
          <w:p>
            <w:r>
              <w:rPr>
                <w:b w:val="false"/>
                <w:bCs w:val="false"/>
              </w:rPr>
              <w:t xml:space="preserve">6 500 000 soʻmdan</w:t>
            </w:r>
          </w:p>
        </w:tc>
        <w:tc>
          <w:p>
            <w:r>
              <w:rPr>
                <w:b w:val="false"/>
                <w:bCs w:val="false"/>
              </w:rPr>
              <w:t xml:space="preserve">Implant, raqamli shablon boʻyicha operatsiya va nazorat koʻriklari. Boʻlib toʻlash mumkin</w:t>
            </w:r>
          </w:p>
        </w:tc>
      </w:tr>
      <w:tr>
        <w:trPr>
          <w:tblHeader w:val="off"/>
        </w:trPr>
        <w:tc>
          <w:p>
            <w:r>
              <w:rPr>
                <w:b w:val="false"/>
                <w:bCs w:val="false"/>
              </w:rPr>
              <w:t xml:space="preserve">Implant ustiga toj</w:t>
            </w:r>
          </w:p>
        </w:tc>
        <w:tc>
          <w:p>
            <w:r>
              <w:rPr>
                <w:b w:val="false"/>
                <w:bCs w:val="false"/>
              </w:rPr>
              <w:t xml:space="preserve">4 500 000 soʻmdan</w:t>
            </w:r>
          </w:p>
        </w:tc>
        <w:tc>
          <w:p>
            <w:r>
              <w:rPr>
                <w:b w:val="false"/>
                <w:bCs w:val="false"/>
              </w:rPr>
              <w:t xml:space="preserve">Abatment va bitishuvdan keyingi toj. Boʻlib toʻlash mumkin</w:t>
            </w:r>
          </w:p>
        </w:tc>
      </w:tr>
      <w:tr>
        <w:trPr>
          <w:tblHeader w:val="off"/>
        </w:trPr>
        <w:tc>
          <w:p>
            <w:r>
              <w:rPr>
                <w:b w:val="false"/>
                <w:bCs w:val="false"/>
              </w:rPr>
              <w:t xml:space="preserve">Bir tashrifda keramika toj</w:t>
            </w:r>
          </w:p>
        </w:tc>
        <w:tc>
          <w:p>
            <w:r>
              <w:rPr>
                <w:b w:val="false"/>
                <w:bCs w:val="false"/>
              </w:rPr>
              <w:t xml:space="preserve">3 200 000 soʻmdan</w:t>
            </w:r>
          </w:p>
        </w:tc>
        <w:tc>
          <w:p>
            <w:r>
              <w:rPr>
                <w:b w:val="false"/>
                <w:bCs w:val="false"/>
              </w:rPr>
              <w:t xml:space="preserve">Skanerlash, oʻyib tayyorlash va oʻsha kuni oʻrnatish, oʻz tish-texnikimiz. Boʻlib toʻlash mumkin</w:t>
            </w:r>
          </w:p>
        </w:tc>
      </w:tr>
      <w:tr>
        <w:trPr>
          <w:tblHeader w:val="off"/>
        </w:trPr>
        <w:tc>
          <w:p>
            <w:r>
              <w:rPr>
                <w:b w:val="false"/>
                <w:bCs w:val="false"/>
              </w:rPr>
              <w:t xml:space="preserve">Keramika vinir</w:t>
            </w:r>
          </w:p>
        </w:tc>
        <w:tc>
          <w:p>
            <w:r>
              <w:rPr>
                <w:b w:val="false"/>
                <w:bCs w:val="false"/>
              </w:rPr>
              <w:t xml:space="preserve">3 800 000 soʻmdan</w:t>
            </w:r>
          </w:p>
        </w:tc>
        <w:tc>
          <w:p>
            <w:r>
              <w:rPr>
                <w:b w:val="false"/>
                <w:bCs w:val="false"/>
              </w:rPr>
              <w:t xml:space="preserve">Bitta tish, shaklni oldindan oʻlchab koʻrish bilan. Boʻlib toʻlash mumkin</w:t>
            </w:r>
          </w:p>
        </w:tc>
      </w:tr>
      <w:tr>
        <w:trPr>
          <w:tblHeader w:val="off"/>
        </w:trPr>
        <w:tc>
          <w:p>
            <w:r>
              <w:rPr>
                <w:b w:val="false"/>
                <w:bCs w:val="false"/>
              </w:rPr>
              <w:t xml:space="preserve">Olinadigan protez</w:t>
            </w:r>
          </w:p>
        </w:tc>
        <w:tc>
          <w:p>
            <w:r>
              <w:rPr>
                <w:b w:val="false"/>
                <w:bCs w:val="false"/>
              </w:rPr>
              <w:t xml:space="preserve">4 200 000 soʻmdan</w:t>
            </w:r>
          </w:p>
        </w:tc>
        <w:tc>
          <w:p>
            <w:r>
              <w:rPr>
                <w:b w:val="false"/>
                <w:bCs w:val="false"/>
              </w:rPr>
              <w:t xml:space="preserve">Toʻliq yoki qisman, oʻlchab koʻrishlar bilan. Boʻlib toʻlash mumkin</w:t>
            </w:r>
          </w:p>
        </w:tc>
      </w:tr>
      <w:tr>
        <w:trPr>
          <w:tblHeader w:val="off"/>
        </w:trPr>
        <w:tc>
          <w:p>
            <w:r>
              <w:rPr>
                <w:b w:val="false"/>
                <w:bCs w:val="false"/>
              </w:rPr>
              <w:t xml:space="preserve">Shaffof aylanerlar</w:t>
            </w:r>
          </w:p>
        </w:tc>
        <w:tc>
          <w:p>
            <w:r>
              <w:rPr>
                <w:b w:val="false"/>
                <w:bCs w:val="false"/>
              </w:rPr>
              <w:t xml:space="preserve">14 000 000 soʻmdan</w:t>
            </w:r>
          </w:p>
        </w:tc>
        <w:tc>
          <w:p>
            <w:r>
              <w:rPr>
                <w:b w:val="false"/>
                <w:bCs w:val="false"/>
              </w:rPr>
              <w:t xml:space="preserve">Butun kurs: 3D reja, barcha kappalar va davolash oxirigacha koʻriklar. Boʻlib toʻlash mumkin</w:t>
            </w:r>
          </w:p>
        </w:tc>
      </w:tr>
      <w:tr>
        <w:trPr>
          <w:tblHeader w:val="off"/>
        </w:trPr>
        <w:tc>
          <w:p>
            <w:r>
              <w:rPr>
                <w:b w:val="false"/>
                <w:bCs w:val="false"/>
              </w:rPr>
              <w:t xml:space="preserve">Breket tizimi</w:t>
            </w:r>
          </w:p>
        </w:tc>
        <w:tc>
          <w:p>
            <w:r>
              <w:rPr>
                <w:b w:val="false"/>
                <w:bCs w:val="false"/>
              </w:rPr>
              <w:t xml:space="preserve">9 000 000 soʻmdan</w:t>
            </w:r>
          </w:p>
        </w:tc>
        <w:tc>
          <w:p>
            <w:r>
              <w:rPr>
                <w:b w:val="false"/>
                <w:bCs w:val="false"/>
              </w:rPr>
              <w:t xml:space="preserve">Metall yoki keramika, ikkala jagʻga oʻrnatish. Boʻlib toʻlash mumkin</w:t>
            </w:r>
          </w:p>
        </w:tc>
      </w:tr>
      <w:tr>
        <w:trPr>
          <w:tblHeader w:val="off"/>
        </w:trPr>
        <w:tc>
          <w:p>
            <w:r>
              <w:rPr>
                <w:b w:val="false"/>
                <w:bCs w:val="false"/>
              </w:rPr>
              <w:t xml:space="preserve">Kabinetda oqartirish</w:t>
            </w:r>
          </w:p>
        </w:tc>
        <w:tc>
          <w:p>
            <w:r>
              <w:rPr>
                <w:b w:val="false"/>
                <w:bCs w:val="false"/>
              </w:rPr>
              <w:t xml:space="preserve">2 400 000 soʻm</w:t>
            </w:r>
          </w:p>
        </w:tc>
        <w:tc>
          <w:p>
            <w:r>
              <w:rPr>
                <w:b w:val="false"/>
                <w:bCs w:val="false"/>
              </w:rPr>
              <w:t xml:space="preserve">Bir tashrif, bir yarim soatgacha, milk himoyasi bilan</w:t>
            </w:r>
          </w:p>
        </w:tc>
      </w:tr>
      <w:tr>
        <w:trPr>
          <w:tblHeader w:val="off"/>
        </w:trPr>
        <w:tc>
          <w:p>
            <w:r>
              <w:rPr>
                <w:b w:val="false"/>
                <w:bCs w:val="false"/>
              </w:rPr>
              <w:t xml:space="preserve">Bolalar qabuli</w:t>
            </w:r>
          </w:p>
        </w:tc>
        <w:tc>
          <w:p>
            <w:r>
              <w:rPr>
                <w:b w:val="false"/>
                <w:bCs w:val="false"/>
              </w:rPr>
              <w:t xml:space="preserve">400 000 soʻmdan</w:t>
            </w:r>
          </w:p>
        </w:tc>
        <w:tc>
          <w:p>
            <w:r>
              <w:rPr>
                <w:b w:val="false"/>
                <w:bCs w:val="false"/>
              </w:rPr>
              <w:t xml:space="preserve">Sut tishini davolash. Birinchi tanishuv davolashsiz — bepul</w:t>
            </w:r>
          </w:p>
        </w:tc>
      </w:tr>
    </w:tbl>
    <w:p/>
    <w:p>
      <w:pPr>
        <w:pStyle w:val="Heading2"/>
      </w:pPr>
      <w:r>
        <w:t xml:space="preserve">Boʻlib toʻlash</w:t>
      </w:r>
    </w:p>
    <w:p>
      <w:pPr>
        <w:spacing w:after="160"/>
      </w:pPr>
      <w:r>
        <w:t xml:space="preserve">3 000 000 soʻmdan qimmat ishlarda toʻlovni 3–6 oyga foizsiz boʻlamiz. Bu klinika bilan shartnoma, bank va daromad haqida maʼlumotnoma kerak emas. Birinchi toʻlov ish boshlanishidan oldin, qolgani teng qismlarda. Boʻlib toʻlash implantatsiya, protezlash, vinirlar, olinadigan protezlar, aylanerlar va breketlarga amal qiladi.</w:t>
      </w:r>
    </w:p>
    <w:p>
      <w:pPr>
        <w:pStyle w:val="Heading2"/>
      </w:pPr>
      <w:r>
        <w:t xml:space="preserve">Aniq narxni qanday bilish mumkin</w:t>
      </w:r>
    </w:p>
    <w:p>
      <w:pPr>
        <w:spacing w:after="160"/>
      </w:pPr>
      <w:r>
        <w:t xml:space="preserve">Telefonda va chatda biz oraliqni aytamiz, yakuniy summani emas: suratsiz halol raqam boʻlmaydi. Koʻrik va reja qariyb qirq daqiqa oladi, shundan keyin narxni qogʻozda olasiz va oʻylab koʻrish uchun ketishingiz mumkin — reja sizda qoladi.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2026-09-28T12:17:01.001Z</dcterms:created>
  <dcterms:modified xsi:type="dcterms:W3CDTF">2026-09-28T12:17:01.001Z</dcterms:modified>
</cp:coreProperties>
</file>

<file path=docProps/custom.xml><?xml version="1.0" encoding="utf-8"?>
<Properties xmlns="http://schemas.openxmlformats.org/officeDocument/2006/custom-properties" xmlns:vt="http://schemas.openxmlformats.org/officeDocument/2006/docPropsVTypes"/>
</file>