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720" w:before="0"/>
        <w:ind w:firstLine="0"/>
        <w:jc w:val="center"/>
      </w:pPr>
      <w:r>
        <w:rPr>
          <w:b/>
          <w:sz w:val="28"/>
        </w:rPr>
        <w:t>НАУЧНО-ПРОИЗВОДСТВЕННЫЙ ЦЕНТР АГРОИНЖЕНЕРИИ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УТВЕРЖДАЮ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Руководитель организации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_______________ / ______________ /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«____» ______________ 2026 г.</w:t>
      </w:r>
    </w:p>
    <w:p>
      <w:pPr>
        <w:spacing w:line="240" w:lineRule="auto" w:after="1200" w:before="0"/>
        <w:ind w:firstLine="0"/>
        <w:jc w:val="center"/>
      </w:pPr>
      <w:r>
        <w:rPr>
          <w:b w:val="0"/>
          <w:sz w:val="28"/>
        </w:rPr>
      </w:r>
    </w:p>
    <w:p>
      <w:pPr>
        <w:spacing w:line="240" w:lineRule="auto" w:after="0" w:before="0"/>
        <w:ind w:firstLine="0"/>
        <w:jc w:val="center"/>
      </w:pPr>
      <w:r>
        <w:rPr>
          <w:b/>
          <w:sz w:val="32"/>
        </w:rPr>
        <w:t>ПРОГРАММА И МЕТОДИКА</w:t>
      </w:r>
    </w:p>
    <w:p>
      <w:pPr>
        <w:spacing w:line="240" w:lineRule="auto" w:after="360" w:before="0"/>
        <w:ind w:firstLine="0"/>
        <w:jc w:val="center"/>
      </w:pPr>
      <w:r>
        <w:rPr>
          <w:b/>
          <w:sz w:val="32"/>
        </w:rPr>
        <w:t>ПОЛЕВЫХ ИСПЫТАНИЙ</w:t>
      </w:r>
    </w:p>
    <w:p>
      <w:pPr>
        <w:spacing w:line="240" w:lineRule="auto" w:after="2000" w:before="0"/>
        <w:ind w:firstLine="0"/>
        <w:jc w:val="center"/>
      </w:pPr>
      <w:r>
        <w:rPr>
          <w:b w:val="0"/>
          <w:sz w:val="28"/>
        </w:rPr>
        <w:t>электрического трактора JINMA YL254ET тягового класса 0,6 в агрегате с навесным культиватором и навесной культиваторной фрезой</w:t>
      </w:r>
    </w:p>
    <w:p>
      <w:pPr>
        <w:spacing w:line="240" w:lineRule="auto" w:after="0" w:before="0"/>
        <w:ind w:firstLine="0"/>
        <w:jc w:val="left"/>
      </w:pPr>
      <w:r>
        <w:rPr>
          <w:b w:val="0"/>
          <w:sz w:val="28"/>
        </w:rPr>
        <w:t>СОГЛАСОВАНО</w:t>
      </w:r>
    </w:p>
    <w:p>
      <w:pPr>
        <w:spacing w:line="240" w:lineRule="auto" w:after="0" w:before="0"/>
        <w:ind w:firstLine="0"/>
        <w:jc w:val="left"/>
      </w:pPr>
      <w:r>
        <w:rPr>
          <w:b w:val="0"/>
          <w:sz w:val="28"/>
        </w:rPr>
        <w:t>Руководитель НИР</w:t>
      </w:r>
    </w:p>
    <w:p>
      <w:pPr>
        <w:spacing w:line="240" w:lineRule="auto" w:after="0" w:before="0"/>
        <w:ind w:firstLine="0"/>
        <w:jc w:val="left"/>
      </w:pPr>
      <w:r>
        <w:rPr>
          <w:b w:val="0"/>
          <w:sz w:val="28"/>
        </w:rPr>
        <w:t>_______________ / ______________ /</w:t>
      </w:r>
    </w:p>
    <w:p>
      <w:pPr>
        <w:spacing w:line="240" w:lineRule="auto" w:after="0" w:before="0"/>
        <w:ind w:firstLine="0"/>
        <w:jc w:val="left"/>
      </w:pPr>
      <w:r>
        <w:rPr>
          <w:b w:val="0"/>
          <w:sz w:val="28"/>
        </w:rPr>
        <w:t>«____» ______________ 2026 г.</w:t>
      </w:r>
    </w:p>
    <w:p>
      <w:pPr>
        <w:spacing w:line="240" w:lineRule="auto" w:after="4000" w:before="0"/>
        <w:ind w:firstLine="0"/>
        <w:jc w:val="center"/>
      </w:pPr>
      <w:r>
        <w:rPr>
          <w:b w:val="0"/>
          <w:sz w:val="28"/>
        </w:rPr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Алматы 2026</w:t>
      </w:r>
    </w:p>
    <w:p>
      <w:r>
        <w:br w:type="page"/>
      </w:r>
    </w:p>
    <w:p>
      <w:pPr>
        <w:pStyle w:val="Heading2"/>
      </w:pPr>
      <w:r>
        <w:t>1 Объект испытаний</w:t>
      </w:r>
    </w:p>
    <w:p>
      <w:r>
        <w:rPr>
          <w:b w:val="0"/>
          <w:i w:val="0"/>
        </w:rPr>
        <w:t>Электрический трактор JINMA YL254ET (тяговый класс 0,6, колёсная формула 4К4, тяговая батарея LiFePO</w:t>
      </w:r>
      <w:r>
        <w:rPr>
          <w:b w:val="0"/>
          <w:i w:val="0"/>
          <w:vertAlign w:val="subscript"/>
        </w:rPr>
        <w:t>4</w:t>
      </w:r>
      <w:r>
        <w:rPr>
          <w:b w:val="0"/>
          <w:i w:val="0"/>
        </w:rPr>
        <w:t xml:space="preserve"> 24S, 76,8 В, 304 А·ч) в агрегате с навесными почвообрабатывающими машинами: культиватором сплошной обработки (ширина захвата 1,2 м) и культиваторной фрезой (ширина захвата 1,25 м, привод от ВОМ 540 мин</w:t>
      </w:r>
      <w:r>
        <w:rPr>
          <w:b w:val="0"/>
          <w:i w:val="0"/>
          <w:vertAlign w:val="superscript"/>
        </w:rPr>
        <w:t>-1</w:t>
      </w:r>
      <w:r>
        <w:rPr>
          <w:b w:val="0"/>
          <w:i w:val="0"/>
        </w:rPr>
        <w:t>). Трактор предъявляется на испытания технически исправным, с заряженной батареей (SOC не менее 95 %), давлением в шинах по инструкции изготовителя.</w:t>
      </w:r>
    </w:p>
    <w:p>
      <w:pPr>
        <w:pStyle w:val="Heading2"/>
      </w:pPr>
      <w:r>
        <w:t>2 Цель испытаний</w:t>
      </w:r>
    </w:p>
    <w:p>
      <w:r>
        <w:rPr>
          <w:b w:val="0"/>
          <w:i w:val="0"/>
        </w:rPr>
        <w:t>Определение энергетических, тягово-сцепных, тепловых и агротехнических показателей электротрактора при поверхностной обработке почвы в диапазоне глубин и скоростей, установление границы области работоспособности и получение исходных данных для сравнительной оценки с трактором с дизельным двигателем того же тягового класса.</w:t>
      </w:r>
    </w:p>
    <w:p>
      <w:pPr>
        <w:pStyle w:val="Heading2"/>
      </w:pPr>
      <w:r>
        <w:t>3 Общие положения</w:t>
      </w:r>
    </w:p>
    <w:p>
      <w:pPr>
        <w:ind w:firstLine="709"/>
      </w:pPr>
      <w:r>
        <w:rPr>
          <w:b w:val="0"/>
          <w:i w:val="0"/>
        </w:rPr>
        <w:t>– испытания проводятся на опытном участке Научно-производственного центра агроинженерии;</w:t>
      </w:r>
    </w:p>
    <w:p>
      <w:pPr>
        <w:ind w:firstLine="709"/>
      </w:pPr>
      <w:r>
        <w:rPr>
          <w:b w:val="0"/>
          <w:i w:val="0"/>
        </w:rPr>
        <w:t>– сроки: культиватор – сентябрь, фреза – октябрь (по готовности агрофона); продолжительность одной серии – до 3 ч, определяется запасом энергии батареи;</w:t>
      </w:r>
    </w:p>
    <w:p>
      <w:pPr>
        <w:ind w:firstLine="709"/>
      </w:pPr>
      <w:r>
        <w:rPr>
          <w:b w:val="0"/>
          <w:i w:val="0"/>
        </w:rPr>
        <w:t>– состав бригады: руководитель испытаний, оператор (тракторист), оператор регистрации телеметрии, исполнитель полевых замеров;</w:t>
      </w:r>
    </w:p>
    <w:p>
      <w:pPr>
        <w:ind w:firstLine="709"/>
      </w:pPr>
      <w:r>
        <w:rPr>
          <w:b w:val="0"/>
          <w:i w:val="0"/>
        </w:rPr>
        <w:t>– испытания проводятся по настоящей ПМИ с учётом требований ГОСТ 20915, ГОСТ 33687, ГОСТ 24055, ГОСТ 7057 в части, применимой к электротрактору;</w:t>
      </w:r>
    </w:p>
    <w:p>
      <w:pPr>
        <w:ind w:firstLine="709"/>
      </w:pPr>
      <w:r>
        <w:rPr>
          <w:b w:val="0"/>
          <w:i w:val="0"/>
        </w:rPr>
        <w:t>– отклонения от ПМИ фиксируются в журнале событий и отражаются в отчёте.</w:t>
      </w:r>
    </w:p>
    <w:p>
      <w:pPr>
        <w:pStyle w:val="Heading2"/>
      </w:pPr>
      <w:r>
        <w:t>4 Объём испытаний</w:t>
      </w:r>
    </w:p>
    <w:p>
      <w:r>
        <w:rPr>
          <w:b w:val="0"/>
          <w:i w:val="0"/>
        </w:rPr>
        <w:t>Этапы и объём испытаний приведены в таблице 1.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1 – Этапы и объём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1814"/>
        <w:gridCol w:w="4818"/>
        <w:gridCol w:w="2267"/>
      </w:tblGrid>
      <w:tr>
        <w:trPr>
          <w:tblHeader w:val="true"/>
        </w:trP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Этап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Содержание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Подготовка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проверка регистрирующего комплекса, контроль нуля каналов, разбивка участка, установка вешек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акт готовности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Определение условий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твёрдость и влажность почвы (не менее 5 точек по участку), температура воздуха, агрофон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форма условий испытаний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Фоновые режимы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стоянка в режиме готовности, работа гидронавески, холостое вращение ротора (ВОМ 540), переезд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мощность вспомогательных режимов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Холостые проходы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два прохода по учётной делянке с поднятой машиной до опыта и два после опыта на передаче рабочего диапазона (для фрезы – на средней передаче П2)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сопротивление передвижению трактора; число оборотов N</w:t>
            </w:r>
            <w:r>
              <w:rPr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b w:val="0"/>
                <w:i w:val="0"/>
                <w:sz w:val="21"/>
              </w:rPr>
              <w:t xml:space="preserve"> для определения буксования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Основной опыт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полнофакторный план 3×3 в трёх блоках, порядок режимов случайный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показатели учётных проходов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Предельный режим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попытка прохода при максимальных глубине и скорости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граница работоспособности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Обработка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расчёт показателей, статистический анализ, оформление отчёта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отчёт об испытаниях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5 Условия и порядок проведения испытаний</w:t>
      </w:r>
    </w:p>
    <w:p>
      <w:r>
        <w:rPr>
          <w:b w:val="0"/>
          <w:i w:val="0"/>
        </w:rPr>
        <w:t>Опытный участок должен иметь ровный рельеф (уклон не более 2°), однородный агрофон и размеры, достаточные для размещения трёх блоков. Каждая полоса прохода включает поворотную полосу 12 м, разгонный участок 20 м, учётную делянку 100 м, участок выглубления и поворотную полосу 12 м; краевая полоса 10 м в зачёт не входит. Начало и конец учётной делянки обозначаются вешками.</w:t>
      </w:r>
    </w:p>
    <w:p>
      <w:r>
        <w:rPr>
          <w:b w:val="0"/>
          <w:i w:val="0"/>
        </w:rPr>
        <w:t>Условия испытаний определяются до начала опыта: твёрдость почвы – твердомером в слое 0–20 см не менее чем в пяти точках по диагонали участка; влажность почвы – влагомером или термостатно-весовым методом в слое 0–10 и 10–20 см; температура воздуха – термометром; агрофон (предшественник, растительные остатки, засорённость камнями) – осмотром с записью в форму условий испытаний.</w:t>
      </w:r>
    </w:p>
    <w:p>
      <w:r>
        <w:rPr>
          <w:b w:val="0"/>
          <w:i w:val="0"/>
        </w:rPr>
        <w:t>Порядок проведения серии:</w:t>
      </w:r>
    </w:p>
    <w:p>
      <w:pPr>
        <w:ind w:firstLine="709"/>
      </w:pPr>
      <w:r>
        <w:rPr>
          <w:b w:val="0"/>
          <w:i w:val="0"/>
        </w:rPr>
        <w:t>1) включение трактора и регистрирующего комплекса, самодиагностика, контроль нуля каналов (не менее 60 с на неподвижной машине);</w:t>
      </w:r>
    </w:p>
    <w:p>
      <w:pPr>
        <w:ind w:firstLine="709"/>
      </w:pPr>
      <w:r>
        <w:rPr>
          <w:b w:val="0"/>
          <w:i w:val="0"/>
        </w:rPr>
        <w:t>2) переезд к участку на транспортном диапазоне;</w:t>
      </w:r>
    </w:p>
    <w:p>
      <w:pPr>
        <w:ind w:firstLine="709"/>
      </w:pPr>
      <w:r>
        <w:rPr>
          <w:b w:val="0"/>
          <w:i w:val="0"/>
        </w:rPr>
        <w:t>3) замеры условий, проверка гидронавесной системы (подъём – опускание);</w:t>
      </w:r>
    </w:p>
    <w:p>
      <w:pPr>
        <w:ind w:firstLine="709"/>
      </w:pPr>
      <w:r>
        <w:rPr>
          <w:b w:val="0"/>
          <w:i w:val="0"/>
        </w:rPr>
        <w:t>4) для фрезы – холостое вращение ротора при поднятой машине (ВОМ 540 мин</w:t>
      </w:r>
      <w:r>
        <w:rPr>
          <w:b w:val="0"/>
          <w:i w:val="0"/>
          <w:vertAlign w:val="superscript"/>
        </w:rPr>
        <w:t>-1</w:t>
      </w:r>
      <w:r>
        <w:rPr>
          <w:b w:val="0"/>
          <w:i w:val="0"/>
        </w:rPr>
        <w:t>, 90 с);</w:t>
      </w:r>
    </w:p>
    <w:p>
      <w:pPr>
        <w:ind w:firstLine="709"/>
      </w:pPr>
      <w:r>
        <w:rPr>
          <w:b w:val="0"/>
          <w:i w:val="0"/>
        </w:rPr>
        <w:t>5) два холостых прохода по учётной делянке с поднятой машиной на передаче рабочего диапазона (для фрезы – на передаче П2);</w:t>
      </w:r>
    </w:p>
    <w:p>
      <w:pPr>
        <w:ind w:firstLine="709"/>
      </w:pPr>
      <w:r>
        <w:rPr>
          <w:b w:val="0"/>
          <w:i w:val="0"/>
        </w:rPr>
        <w:t>6) учётные проходы блока в случайном порядке: заглубление; для фрезы – включение ВОМ и разгон ротора; рабочий ход через РУ, УД, УВ; выглубление; разворот; замеры качества работы;</w:t>
      </w:r>
    </w:p>
    <w:p>
      <w:pPr>
        <w:ind w:firstLine="709"/>
      </w:pPr>
      <w:r>
        <w:rPr>
          <w:b w:val="0"/>
          <w:i w:val="0"/>
        </w:rPr>
        <w:t>7) попытка предельного режима: при выходе мощности на ограничение, снижении частоты ВОМ более чем на 10 % или невозможности поддерживать скорость проход прекращается;</w:t>
      </w:r>
    </w:p>
    <w:p>
      <w:pPr>
        <w:ind w:firstLine="709"/>
      </w:pPr>
      <w:r>
        <w:rPr>
          <w:b w:val="0"/>
          <w:i w:val="0"/>
        </w:rPr>
        <w:t>8) два холостых прохода по учётной делянке, холостое вращение ротора (для фрезы), контроль нуля каналов;</w:t>
      </w:r>
    </w:p>
    <w:p>
      <w:pPr>
        <w:ind w:firstLine="709"/>
      </w:pPr>
      <w:r>
        <w:rPr>
          <w:b w:val="0"/>
          <w:i w:val="0"/>
        </w:rPr>
        <w:t>9) переезд к месту стоянки, постановка на зарядку с записью SOC.</w:t>
      </w:r>
    </w:p>
    <w:p>
      <w:r>
        <w:rPr>
          <w:b w:val="0"/>
          <w:i w:val="0"/>
        </w:rPr>
        <w:t>Если запаса энергии батареи недостаточно для выполнения всех блоков (SOC менее 40 %), оставшиеся блоки выполняются в следующей серии с повторением этапов 1–5 и 8–9.</w:t>
      </w:r>
    </w:p>
    <w:p>
      <w:pPr>
        <w:pStyle w:val="Heading2"/>
      </w:pPr>
      <w:r>
        <w:t>6 Средства измерений и оборудование</w:t>
      </w:r>
    </w:p>
    <w:p>
      <w:r>
        <w:rPr>
          <w:b w:val="0"/>
          <w:i w:val="0"/>
        </w:rPr>
        <w:t>Средства измерений, применяемые при испытаниях, приведены в таблице 2. Допускается применение других средств измерений с метрологическими характеристиками не хуже указанных.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2 – Средства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37"/>
        <w:gridCol w:w="2948"/>
        <w:gridCol w:w="1700"/>
        <w:gridCol w:w="2267"/>
      </w:tblGrid>
      <w:tr>
        <w:trPr>
          <w:tblHeader w:val="true"/>
        </w:trP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Измеряемая величина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Средство измерений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Диапазон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Погрешность / разрешение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Ток, напряжение, SOC, температуры батареи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штатная BMS через шину CAN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0…±500 А; 0…100 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±1 % (ток); 0,1 В; 1 %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Частота вращения и ток двигателей, температуры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штатные контроллеры через шину CAN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0…4000 мин</w:t>
            </w:r>
            <w:r>
              <w:rPr>
                <w:b w:val="0"/>
                <w:i w:val="0"/>
                <w:sz w:val="20"/>
                <w:vertAlign w:val="superscript"/>
              </w:rPr>
              <w:t>-1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1 мин</w:t>
            </w:r>
            <w:r>
              <w:rPr>
                <w:b w:val="0"/>
                <w:i w:val="0"/>
                <w:sz w:val="20"/>
                <w:vertAlign w:val="superscript"/>
              </w:rPr>
              <w:t>-1</w:t>
            </w:r>
            <w:r>
              <w:rPr>
                <w:b w:val="0"/>
                <w:i w:val="0"/>
                <w:sz w:val="20"/>
              </w:rPr>
              <w:t>; 0,1 А; 0,1 °C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Регистрация данных шины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адаптер CANable V2 (slcan), ПК с ПО регистрации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250 кбит/с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метка времени 1 мс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Время прохождения делянки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отметки оператора по вешкам в журнале событий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±0,1 с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Длина делянки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мерная лента 100 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0…100 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±0,1 м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Глубина обработки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глубиномер (линейка) по ГОСТ 33687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0…30 см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±0,5 см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Ширина захвата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мерная рулетка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0…5 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±0,01 м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Твёрдость почвы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электронный твердомер (пенетрометр)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0…50 кгс/см²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по паспорту прибора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Влажность почвы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диэлектрический влагомер / сушильный шкаф и весы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0…100 %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по паспорту прибора; ±0,1 г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Температура воздуха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термометр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−20…+50 °C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±0,5 °C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7 Определяемые показатели и методы их определения</w:t>
      </w:r>
    </w:p>
    <w:p>
      <w:r>
        <w:rPr>
          <w:b w:val="0"/>
          <w:i w:val="0"/>
        </w:rPr>
        <w:t>Определяемые показатели и методы их определения приведены в таблице 3.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3 – Определяемые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34"/>
        <w:gridCol w:w="4422"/>
        <w:gridCol w:w="2097"/>
      </w:tblGrid>
      <w:tr>
        <w:trPr>
          <w:tblHeader w:val="true"/>
        </w:trP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Показатель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Метод определения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Нормативный документ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Мощность P, кВт; энергия E, кВт·ч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 = U·I/1000 по данным BMS с частотой 1 Гц; E – суммирование P·Δt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настоящая ПМИ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Фактическая скорость v, км/ч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v = 3,6·L/t</w:t>
            </w:r>
            <w:r>
              <w:rPr>
                <w:b w:val="0"/>
                <w:i w:val="0"/>
                <w:sz w:val="20"/>
                <w:vertAlign w:val="subscript"/>
              </w:rPr>
              <w:t>УД</w:t>
            </w:r>
            <w:r>
              <w:rPr>
                <w:b w:val="0"/>
                <w:i w:val="0"/>
                <w:sz w:val="20"/>
              </w:rPr>
              <w:t xml:space="preserve"> по отметкам вешек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ГОСТ 7057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Буксование δ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δ = 1 − N</w:t>
            </w:r>
            <w:r>
              <w:rPr>
                <w:b w:val="0"/>
                <w:i w:val="0"/>
                <w:sz w:val="20"/>
                <w:vertAlign w:val="subscript"/>
              </w:rPr>
              <w:t>0</w:t>
            </w:r>
            <w:r>
              <w:rPr>
                <w:b w:val="0"/>
                <w:i w:val="0"/>
                <w:sz w:val="20"/>
              </w:rPr>
              <w:t>/N, где N и N</w:t>
            </w:r>
            <w:r>
              <w:rPr>
                <w:b w:val="0"/>
                <w:i w:val="0"/>
                <w:sz w:val="20"/>
                <w:vertAlign w:val="subscript"/>
              </w:rPr>
              <w:t>0</w:t>
            </w:r>
            <w:r>
              <w:rPr>
                <w:b w:val="0"/>
                <w:i w:val="0"/>
                <w:sz w:val="20"/>
              </w:rPr>
              <w:t xml:space="preserve"> – число оборотов двигателя хода на учётной делянке при рабочем и холостом проходах на одной передаче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ГОСТ 7057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Производительность W</w:t>
            </w:r>
            <w:r>
              <w:rPr>
                <w:b w:val="0"/>
                <w:i w:val="0"/>
                <w:sz w:val="20"/>
                <w:vertAlign w:val="subscript"/>
              </w:rPr>
              <w:t>0</w:t>
            </w:r>
            <w:r>
              <w:rPr>
                <w:b w:val="0"/>
                <w:i w:val="0"/>
                <w:sz w:val="20"/>
              </w:rPr>
              <w:t>, га/ч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W</w:t>
            </w:r>
            <w:r>
              <w:rPr>
                <w:b w:val="0"/>
                <w:i w:val="0"/>
                <w:sz w:val="20"/>
                <w:vertAlign w:val="subscript"/>
              </w:rPr>
              <w:t>0</w:t>
            </w:r>
            <w:r>
              <w:rPr>
                <w:b w:val="0"/>
                <w:i w:val="0"/>
                <w:sz w:val="20"/>
              </w:rPr>
              <w:t xml:space="preserve"> = 0,1·B·v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ГОСТ 24055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Удельный расход энергии e, кВт·ч/га; e</w:t>
            </w:r>
            <w:r>
              <w:rPr>
                <w:b w:val="0"/>
                <w:i w:val="0"/>
                <w:sz w:val="20"/>
                <w:vertAlign w:val="subscript"/>
              </w:rPr>
              <w:t>V</w:t>
            </w:r>
            <w:r>
              <w:rPr>
                <w:b w:val="0"/>
                <w:i w:val="0"/>
                <w:sz w:val="20"/>
              </w:rPr>
              <w:t>, кДж/м³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e = P̄/W</w:t>
            </w:r>
            <w:r>
              <w:rPr>
                <w:b w:val="0"/>
                <w:i w:val="0"/>
                <w:sz w:val="20"/>
                <w:vertAlign w:val="subscript"/>
              </w:rPr>
              <w:t>0</w:t>
            </w:r>
            <w:r>
              <w:rPr>
                <w:b w:val="0"/>
                <w:i w:val="0"/>
                <w:sz w:val="20"/>
              </w:rPr>
              <w:t>; e</w:t>
            </w:r>
            <w:r>
              <w:rPr>
                <w:b w:val="0"/>
                <w:i w:val="0"/>
                <w:sz w:val="20"/>
                <w:vertAlign w:val="subscript"/>
              </w:rPr>
              <w:t>V</w:t>
            </w:r>
            <w:r>
              <w:rPr>
                <w:b w:val="0"/>
                <w:i w:val="0"/>
                <w:sz w:val="20"/>
              </w:rPr>
              <w:t xml:space="preserve"> = 3,6·P̄/(B·a·v)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ГОСТ 34631 (по аналогии)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Тяговое сопротивление R, Н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по балансу мощности ходовой системы за вычетом сопротивления передвижению, определённого на холостых проходах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настоящая ПМИ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Частота вращения ВОМ, мин</w:t>
            </w:r>
            <w:r>
              <w:rPr>
                <w:b w:val="0"/>
                <w:i w:val="0"/>
                <w:sz w:val="20"/>
                <w:vertAlign w:val="superscript"/>
              </w:rPr>
              <w:t>-1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по частоте вращения двигателя хода: n·540/3797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ГОСТ 7057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Глубина и ширина обработки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замеры в учётной делянке после прохода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ГОСТ 33687, ГОСТ 26244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Температуры двигателей, контроллеров, батареи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по данным шины CAN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настоящая ПМИ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Разброс напряжений элементов батареи ΔU, мВ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ΔU = U</w:t>
            </w:r>
            <w:r>
              <w:rPr>
                <w:b w:val="0"/>
                <w:i w:val="0"/>
                <w:sz w:val="20"/>
                <w:vertAlign w:val="subscript"/>
              </w:rPr>
              <w:t>max</w:t>
            </w:r>
            <w:r>
              <w:rPr>
                <w:b w:val="0"/>
                <w:i w:val="0"/>
                <w:sz w:val="20"/>
              </w:rPr>
              <w:t xml:space="preserve"> − U</w:t>
            </w:r>
            <w:r>
              <w:rPr>
                <w:b w:val="0"/>
                <w:i w:val="0"/>
                <w:sz w:val="20"/>
                <w:vertAlign w:val="subscript"/>
              </w:rPr>
              <w:t>min</w:t>
            </w:r>
            <w:r>
              <w:rPr>
                <w:b w:val="0"/>
                <w:i w:val="0"/>
                <w:sz w:val="20"/>
              </w:rPr>
              <w:t xml:space="preserve"> по данным BMS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настоящая ПМИ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Условия испытаний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твёрдость, влажность почвы, температура воздуха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ГОСТ 20915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8 План эксперимента</w:t>
      </w:r>
    </w:p>
    <w:p>
      <w:r>
        <w:rPr>
          <w:b w:val="0"/>
          <w:i w:val="0"/>
        </w:rPr>
        <w:t>Факторы и уровни варьирования приведены в таблице 4. Опыт выполняется в трёх блоках (повторностях); в каждом блоке реализуются все сочетания уровней в случайном порядке, определяемом по таблице случайных чисел до начала испытаний. Сочетание с наибольшими уровнями обоих факторов выполняется последним как попытка предельного режима.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4 – Факторы и уровни варьирования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Фактор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Культиватор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Фреза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Глубина обработки a, м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0,08; 0,11; 0,14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0,08; 0,12; 0,16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Скорость движения v, км/ч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3,6; 4,5; 5,4 (диапазон L)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1,8; 2,7; 3,6 (диапазоны П1, П2, П3)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Частота вращения ВОМ, мин</w:t>
            </w:r>
            <w:r>
              <w:rPr>
                <w:b w:val="0"/>
                <w:i w:val="0"/>
                <w:sz w:val="21"/>
                <w:vertAlign w:val="superscript"/>
              </w:rPr>
              <w:t>-1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–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540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Число блоков (повторностей)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Число учётных проходов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24 + 1 предельный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24 + 1 предельный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9 Обработка результатов</w:t>
      </w:r>
    </w:p>
    <w:p>
      <w:r>
        <w:rPr>
          <w:b w:val="0"/>
          <w:i w:val="0"/>
        </w:rPr>
        <w:t>Показатели учётного прохода вычисляются по отсчётам журнала 1 Гц, относящимся к учётной делянке. Для каждого сочетания уровней вычисляются среднее, среднее квадратическое отклонение и доверительный интервал (P = 0,95). Значимость факторов оценивается дисперсионным анализом по модели рандомизированных блоков; неопределённость – по ГОСТ 34100.3. Зависимости тягового сопротивления, буксования и удельной энергии фрезерования аппроксимируются по методу наименьших квадратов с оценкой значимости коэффициентов. Обработка выполняется программным комплексом, обеспечивающим воспроизводимость расчётов из первичных журналов.</w:t>
      </w:r>
    </w:p>
    <w:p>
      <w:pPr>
        <w:pStyle w:val="Heading2"/>
      </w:pPr>
      <w:r>
        <w:t>10 Формы регистрации</w:t>
      </w:r>
    </w:p>
    <w:p>
      <w:r>
        <w:rPr>
          <w:b w:val="0"/>
          <w:i w:val="0"/>
        </w:rPr>
        <w:t>Полевой журнал ведётся по форме таблицы 5, условия испытаний регистрируются в протоколе по форме таблицы 6.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5 – Структура полевого журнала (на каждый учётный проход)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18"/>
        <w:gridCol w:w="6236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Поле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pass_no, block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номер прохода и блока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run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наименование этапа (рабочий проход, холостой проход)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a_plan_m, v_plan_kmh, gear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заданные глубина, скорость, диапазон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t_zd_s, v_fact_kmh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время прохождения делянки и фактическая скорость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a_meas_mean_m, a_meas_sd_m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средняя глубина и её среднее квадратическое отклонение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B_meas_m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фактическая ширина захвата</w:t>
            </w:r>
          </w:p>
        </w:tc>
      </w:tr>
    </w:tbl>
    <w:p>
      <w:pPr>
        <w:spacing w:line="240" w:lineRule="auto"/>
        <w:ind w:firstLine="0"/>
      </w:pPr>
    </w:p>
    <w:p>
      <w:r>
        <w:rPr>
          <w:b w:val="0"/>
          <w:i w:val="0"/>
        </w:rPr>
        <w:t>Журнал событий содержит метку времени, наименование события (начало этапа, вход в учётную делянку, выход из неё), номер прохода и блока, заданные глубину, скорость и диапазон.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6 – Протокол определения условий испытаний (форма)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18"/>
        <w:gridCol w:w="1020"/>
        <w:gridCol w:w="1020"/>
        <w:gridCol w:w="1020"/>
        <w:gridCol w:w="1020"/>
        <w:gridCol w:w="1020"/>
        <w:gridCol w:w="1133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Показатель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Точка 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Точка 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Точка 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Точка 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Точка 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Среднее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Твёрдость почвы в слое 0–10 см, кгс/см²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Твёрдость почвы в слое 10–20 см, кгс/см²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Влажность почвы в слое 0–10 см, %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Влажность почвы в слое 10–20 см, %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Температура воздуха, °C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Предшественник, растительные остатки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Засорённость камнями, микрорельеф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11 Сравнительные испытания дизельного аналога</w:t>
      </w:r>
    </w:p>
    <w:p>
      <w:r>
        <w:rPr>
          <w:b w:val="0"/>
          <w:i w:val="0"/>
        </w:rPr>
        <w:t>Для прямой проверки расчётной модели дизельного аналога рекомендуется провести испытания трактора JINMA JM-254 (или иного дизельного трактора класса 0,6) по настоящей ПМИ с теми же машинами, на том же участке, в тех же сочетаниях уровней факторов. Дополнительно определяются: часовой расход топлива – объёмным или весовым методом (мерная ёмкость, весы с погрешностью не более 1 %) с отнесением к времени прохождения учётной делянки; частота вращения коленчатого вала и ВОМ – тахометром; буксование – по числу оборотов ведущих колёс на учётной делянке при рабочем и холостом проходах по ГОСТ 7057. Сравнение результатов с расчётом по разделу 4 отчёта позволяет уточнить поправочный коэффициент k</w:t>
      </w:r>
      <w:r>
        <w:rPr>
          <w:b w:val="0"/>
          <w:i w:val="0"/>
          <w:vertAlign w:val="subscript"/>
        </w:rPr>
        <w:t>Д</w:t>
      </w:r>
      <w:r>
        <w:rPr>
          <w:b w:val="0"/>
          <w:i w:val="0"/>
        </w:rPr>
        <w:t xml:space="preserve"> модели расхода топлива.</w:t>
      </w:r>
    </w:p>
    <w:p>
      <w:pPr>
        <w:pStyle w:val="Heading2"/>
      </w:pPr>
      <w:r>
        <w:t>12 Календарный план испытаний</w:t>
      </w:r>
    </w:p>
    <w:p>
      <w:r>
        <w:rPr>
          <w:b w:val="0"/>
          <w:i w:val="0"/>
        </w:rPr>
        <w:t>Календарный план испытаний приведён в таблице 7.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7 – Календарный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4932"/>
        <w:gridCol w:w="2154"/>
        <w:gridCol w:w="1814"/>
      </w:tblGrid>
      <w:tr>
        <w:trPr>
          <w:tblHeader w:val="true"/>
        </w:trP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№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Этап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Срок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Состояние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Разработка ПМИ, подготовка регистрирующего комплекса, разбивка участка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до 10.09.2026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Определение условий; испытания с культиватором, блоки I–III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15.09.2026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Испытания с фрезой, блоки I–II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14.10.2026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Испытания с фрезой, блок III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15.10.2026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Обработка результатов, сравнительная оценка, отчёт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16.10–18.10.2026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Сравнительные испытания дизельного аналога (раздел 11)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весенне-летний сезон 2027 г.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рекомендуется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1"/>
              </w:rPr>
              <w:t>Длительные (не менее 1 ч) испытания для проверки теплового режима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весенне-летний сезон 2027 г.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1"/>
              </w:rPr>
              <w:t>рекомендуется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13 Требования безопасности</w:t>
      </w:r>
    </w:p>
    <w:p>
      <w:pPr>
        <w:ind w:firstLine="709"/>
      </w:pPr>
      <w:r>
        <w:rPr>
          <w:b w:val="0"/>
          <w:i w:val="0"/>
        </w:rPr>
        <w:t>– к испытаниям допускаются лица, прошедшие инструктаж по охране труда и ознакомленные с руководством по эксплуатации электротрактора;</w:t>
      </w:r>
    </w:p>
    <w:p>
      <w:pPr>
        <w:ind w:firstLine="709"/>
      </w:pPr>
      <w:r>
        <w:rPr>
          <w:b w:val="0"/>
          <w:i w:val="0"/>
        </w:rPr>
        <w:t>– подключение регистрирующего оборудования выполняется только к информационному разъёму бортовой сети при выключенном тяговом напряжении; вмешательство в силовые цепи 80 В запрещено;</w:t>
      </w:r>
    </w:p>
    <w:p>
      <w:pPr>
        <w:ind w:firstLine="709"/>
      </w:pPr>
      <w:r>
        <w:rPr>
          <w:b w:val="0"/>
          <w:i w:val="0"/>
        </w:rPr>
        <w:t>– при работе с фрезой запрещается находиться в зоне действия ротора и карданной передачи; замеры выполняются при отключённом ВОМ и опущенной машине;</w:t>
      </w:r>
    </w:p>
    <w:p>
      <w:pPr>
        <w:ind w:firstLine="709"/>
      </w:pPr>
      <w:r>
        <w:rPr>
          <w:b w:val="0"/>
          <w:i w:val="0"/>
        </w:rPr>
        <w:t>– при появлении кода неисправности BMS или контроллеров испытания прекращаются до выяснения причины;</w:t>
      </w:r>
    </w:p>
    <w:p>
      <w:pPr>
        <w:ind w:firstLine="709"/>
      </w:pPr>
      <w:r>
        <w:rPr>
          <w:b w:val="0"/>
          <w:i w:val="0"/>
        </w:rPr>
        <w:t>– зарядка батареи выполняется на оборудованном месте штатным зарядным устройством.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