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0257740"/>
        <w:docPartObj>
          <w:docPartGallery w:val="Cover Pages"/>
          <w:docPartUnique/>
        </w:docPartObj>
      </w:sdtPr>
      <w:sdtEndPr>
        <w:rPr>
          <w:b/>
          <w:color w:val="1F4E79"/>
          <w:sz w:val="56"/>
        </w:rPr>
      </w:sdtEndPr>
      <w:sdtContent>
        <w:p w14:paraId="7393214E" w14:textId="0CAF13A1" w:rsidR="00DB0514" w:rsidRDefault="00DB0514">
          <w:r>
            <w:rPr>
              <w:noProof/>
            </w:rPr>
            <mc:AlternateContent>
              <mc:Choice Requires="wpg">
                <w:drawing>
                  <wp:anchor distT="0" distB="0" distL="114300" distR="114300" simplePos="0" relativeHeight="251659264" behindDoc="1" locked="0" layoutInCell="1" allowOverlap="1" wp14:anchorId="6E71A1EC" wp14:editId="305CEBB3">
                    <wp:simplePos x="0" y="0"/>
                    <wp:positionH relativeFrom="page">
                      <wp:align>center</wp:align>
                    </wp:positionH>
                    <wp:positionV relativeFrom="page">
                      <wp:align>center</wp:align>
                    </wp:positionV>
                    <wp:extent cx="6864812"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12" cy="9123528"/>
                              <a:chOff x="0" y="0"/>
                              <a:chExt cx="6864812"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7762ECAE" w14:textId="27873E83" w:rsidR="00DB0514" w:rsidRDefault="00DB0514" w:rsidP="00DB0514">
                                      <w:pPr>
                                        <w:pStyle w:val="NoSpacing"/>
                                        <w:spacing w:before="120"/>
                                        <w:jc w:val="center"/>
                                        <w:rPr>
                                          <w:color w:val="FFFFFF" w:themeColor="background1"/>
                                        </w:rPr>
                                      </w:pPr>
                                      <w:r>
                                        <w:rPr>
                                          <w:color w:val="FFFFFF" w:themeColor="background1"/>
                                        </w:rPr>
                                        <w:t xml:space="preserve">     </w:t>
                                      </w:r>
                                    </w:p>
                                  </w:sdtContent>
                                </w:sdt>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12" y="1374487"/>
                                <a:ext cx="6858000" cy="259275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C307C77" w14:textId="203FD8A7" w:rsidR="00DB0514" w:rsidRPr="00DB0514" w:rsidRDefault="00DB0514">
                                      <w:pPr>
                                        <w:pStyle w:val="NoSpacing"/>
                                        <w:jc w:val="center"/>
                                        <w:rPr>
                                          <w:rFonts w:asciiTheme="majorHAnsi" w:eastAsiaTheme="majorEastAsia" w:hAnsiTheme="majorHAnsi" w:cstheme="majorBidi"/>
                                          <w:caps/>
                                          <w:color w:val="4F81BD" w:themeColor="accent1"/>
                                          <w:sz w:val="56"/>
                                          <w:szCs w:val="56"/>
                                        </w:rPr>
                                      </w:pPr>
                                      <w:r w:rsidRPr="00DB0514">
                                        <w:rPr>
                                          <w:rFonts w:asciiTheme="majorHAnsi" w:eastAsiaTheme="majorEastAsia" w:hAnsiTheme="majorHAnsi" w:cstheme="majorBidi"/>
                                          <w:caps/>
                                          <w:color w:val="4F81BD" w:themeColor="accent1"/>
                                          <w:sz w:val="56"/>
                                          <w:szCs w:val="56"/>
                                        </w:rPr>
                                        <w:t>Group Members Syed Muhammad Askari (232386) Qasim Tariq (231613) M. Abdul wasay sohail (231637)</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E71A1EC"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" fillcolor="#4f81bd [3204]" stroked="f" strokeweight="2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" fillcolor="#4f81bd [3204]" stroked="f" strokeweight="2pt">
                      <v:textbox inset="36pt,57.6pt,36pt,36pt">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7762ECAE" w14:textId="27873E83" w:rsidR="00DB0514" w:rsidRDefault="00DB0514" w:rsidP="00DB0514">
                                <w:pPr>
                                  <w:pStyle w:val="NoSpacing"/>
                                  <w:spacing w:before="120"/>
                                  <w:jc w:val="center"/>
                                  <w:rPr>
                                    <w:color w:val="FFFFFF" w:themeColor="background1"/>
                                  </w:rPr>
                                </w:pPr>
                                <w:r>
                                  <w:rPr>
                                    <w:color w:val="FFFFFF" w:themeColor="background1"/>
                                  </w:rPr>
                                  <w:t xml:space="preserve">     </w:t>
                                </w:r>
                              </w:p>
                            </w:sdtContent>
                          </w:sdt>
                        </w:txbxContent>
                      </v:textbox>
                    </v:rect>
                    <v:shapetype id="_x0000_t202" coordsize="21600,21600" o:spt="202" path="m,l,21600r21600,l21600,xe">
                      <v:stroke joinstyle="miter"/>
                      <v:path gradientshapeok="t" o:connecttype="rect"/>
                    </v:shapetype>
                    <v:shape id="Text Box 196" o:spid="_x0000_s1029" type="#_x0000_t202" style="position:absolute;left:68;top:13744;width:68580;height:259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4F81BD"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C307C77" w14:textId="203FD8A7" w:rsidR="00DB0514" w:rsidRPr="00DB0514" w:rsidRDefault="00DB0514">
                                <w:pPr>
                                  <w:pStyle w:val="NoSpacing"/>
                                  <w:jc w:val="center"/>
                                  <w:rPr>
                                    <w:rFonts w:asciiTheme="majorHAnsi" w:eastAsiaTheme="majorEastAsia" w:hAnsiTheme="majorHAnsi" w:cstheme="majorBidi"/>
                                    <w:caps/>
                                    <w:color w:val="4F81BD" w:themeColor="accent1"/>
                                    <w:sz w:val="56"/>
                                    <w:szCs w:val="56"/>
                                  </w:rPr>
                                </w:pPr>
                                <w:r w:rsidRPr="00DB0514">
                                  <w:rPr>
                                    <w:rFonts w:asciiTheme="majorHAnsi" w:eastAsiaTheme="majorEastAsia" w:hAnsiTheme="majorHAnsi" w:cstheme="majorBidi"/>
                                    <w:caps/>
                                    <w:color w:val="4F81BD" w:themeColor="accent1"/>
                                    <w:sz w:val="56"/>
                                    <w:szCs w:val="56"/>
                                  </w:rPr>
                                  <w:t>Group Members Syed Muhammad Askari (232386) Qasim Tariq (231613) M. Abdul wasay sohail (231637)</w:t>
                                </w:r>
                              </w:p>
                            </w:sdtContent>
                          </w:sdt>
                        </w:txbxContent>
                      </v:textbox>
                    </v:shape>
                    <w10:wrap anchorx="page" anchory="page"/>
                  </v:group>
                </w:pict>
              </mc:Fallback>
            </mc:AlternateContent>
          </w:r>
        </w:p>
        <w:p w14:paraId="043AF70B" w14:textId="4B427097" w:rsidR="00DB0514" w:rsidRDefault="00DB0514">
          <w:pPr>
            <w:rPr>
              <w:b/>
              <w:color w:val="1F4E79"/>
              <w:sz w:val="56"/>
            </w:rPr>
          </w:pPr>
          <w:r>
            <w:rPr>
              <w:b/>
              <w:color w:val="1F4E79"/>
              <w:sz w:val="56"/>
            </w:rPr>
            <w:br w:type="page"/>
          </w:r>
        </w:p>
      </w:sdtContent>
    </w:sdt>
    <w:p w14:paraId="3D848053" w14:textId="66D42DEF" w:rsidR="006052BA" w:rsidRDefault="006052BA">
      <w:pPr>
        <w:spacing w:before="1200" w:after="120"/>
        <w:jc w:val="center"/>
      </w:pPr>
    </w:p>
    <w:p w14:paraId="03B037EF" w14:textId="074DE715" w:rsidR="006052BA" w:rsidRDefault="00000000" w:rsidP="00DB0514">
      <w:pPr>
        <w:pStyle w:val="Heading1"/>
      </w:pPr>
      <w:r>
        <w:t>1. Project Overview</w:t>
      </w:r>
    </w:p>
    <w:p w14:paraId="1A5E8E4A" w14:textId="77777777" w:rsidR="006052BA" w:rsidRDefault="00000000">
      <w:pPr>
        <w:spacing w:after="120"/>
      </w:pPr>
      <w:r>
        <w:t>This document provides a comprehensive summary of the NovaMart Database Remediation project. The goal was to analyse the broken database scenario described in the NovaMart case study PDF and systematically resolve each identified failure area through targeted SQL scripts.</w:t>
      </w:r>
    </w:p>
    <w:p w14:paraId="388564C8" w14:textId="77777777" w:rsidR="006052BA" w:rsidRDefault="00000000">
      <w:pPr>
        <w:spacing w:after="120"/>
      </w:pPr>
      <w:r>
        <w:t>The remediation work has been divided into six focused SQL files, each addressing one major problem domain. This structure ensures each fix is independently testable, clearly explained, and easy to review or submit.</w:t>
      </w:r>
    </w:p>
    <w:p w14:paraId="70781376" w14:textId="77777777" w:rsidR="006052BA" w:rsidRDefault="00000000">
      <w:pPr>
        <w:pStyle w:val="Heading2"/>
      </w:pPr>
      <w:r>
        <w:t>SQL Files Produced</w:t>
      </w:r>
    </w:p>
    <w:p w14:paraId="498F88A8" w14:textId="77777777" w:rsidR="006052BA" w:rsidRDefault="00000000">
      <w:pPr>
        <w:pStyle w:val="ListBullet"/>
        <w:spacing w:after="40"/>
      </w:pPr>
      <w:r>
        <w:rPr>
          <w:b/>
        </w:rPr>
        <w:t>security.sql</w:t>
      </w:r>
      <w:r>
        <w:t xml:space="preserve"> — Security hardening and compliance fixes</w:t>
      </w:r>
    </w:p>
    <w:p w14:paraId="227A795D" w14:textId="77777777" w:rsidR="006052BA" w:rsidRDefault="00000000">
      <w:pPr>
        <w:pStyle w:val="ListBullet"/>
        <w:spacing w:after="40"/>
      </w:pPr>
      <w:r>
        <w:rPr>
          <w:b/>
        </w:rPr>
        <w:t>tuning.sql</w:t>
      </w:r>
      <w:r>
        <w:t xml:space="preserve"> — PostgreSQL performance and server tuning</w:t>
      </w:r>
    </w:p>
    <w:p w14:paraId="4F8EA094" w14:textId="77777777" w:rsidR="006052BA" w:rsidRDefault="00000000">
      <w:pPr>
        <w:pStyle w:val="ListBullet"/>
        <w:spacing w:after="40"/>
      </w:pPr>
      <w:r>
        <w:rPr>
          <w:b/>
        </w:rPr>
        <w:t>schema_migration.sql</w:t>
      </w:r>
      <w:r>
        <w:t xml:space="preserve"> — Schema redesign and data cleanup</w:t>
      </w:r>
    </w:p>
    <w:p w14:paraId="2DB325A8" w14:textId="77777777" w:rsidR="006052BA" w:rsidRDefault="00000000">
      <w:pPr>
        <w:pStyle w:val="ListBullet"/>
        <w:spacing w:after="40"/>
      </w:pPr>
      <w:r>
        <w:rPr>
          <w:b/>
        </w:rPr>
        <w:t>concurrency.sql</w:t>
      </w:r>
      <w:r>
        <w:t xml:space="preserve"> — Race condition and deadlock resolution</w:t>
      </w:r>
    </w:p>
    <w:p w14:paraId="4CB87A58" w14:textId="77777777" w:rsidR="006052BA" w:rsidRDefault="00000000">
      <w:pPr>
        <w:pStyle w:val="ListBullet"/>
        <w:spacing w:after="40"/>
      </w:pPr>
      <w:r>
        <w:rPr>
          <w:b/>
        </w:rPr>
        <w:t>reconciliation.sql</w:t>
      </w:r>
      <w:r>
        <w:t xml:space="preserve"> — Orphan record quarantine and FK repair</w:t>
      </w:r>
    </w:p>
    <w:p w14:paraId="5C3A536A" w14:textId="77777777" w:rsidR="006052BA" w:rsidRDefault="00000000">
      <w:pPr>
        <w:pStyle w:val="ListBullet"/>
        <w:spacing w:after="40"/>
      </w:pPr>
      <w:r>
        <w:rPr>
          <w:b/>
        </w:rPr>
        <w:t>olap_queries.sql</w:t>
      </w:r>
      <w:r>
        <w:t xml:space="preserve"> — OLAP views and reporting corrections</w:t>
      </w:r>
    </w:p>
    <w:p w14:paraId="449EF45B" w14:textId="77777777" w:rsidR="006052BA" w:rsidRDefault="00000000">
      <w:pPr>
        <w:pStyle w:val="Heading1"/>
      </w:pPr>
      <w:r>
        <w:t>2. What Was Done</w:t>
      </w:r>
    </w:p>
    <w:p w14:paraId="211121A6" w14:textId="77777777" w:rsidR="006052BA" w:rsidRDefault="00000000">
      <w:pPr>
        <w:spacing w:after="120"/>
      </w:pPr>
      <w:r>
        <w:t>The NovaMart case study was studied in full to identify the major database failures affecting the system. These failures were then grouped into six primary categories:</w:t>
      </w:r>
    </w:p>
    <w:p w14:paraId="2944A7EF" w14:textId="77777777" w:rsidR="006052BA" w:rsidRDefault="00000000">
      <w:pPr>
        <w:pStyle w:val="ListBullet"/>
        <w:spacing w:after="40"/>
      </w:pPr>
      <w:r>
        <w:t>Security and compliance failures</w:t>
      </w:r>
    </w:p>
    <w:p w14:paraId="49EB525E" w14:textId="77777777" w:rsidR="006052BA" w:rsidRDefault="00000000">
      <w:pPr>
        <w:pStyle w:val="ListBullet"/>
        <w:spacing w:after="40"/>
      </w:pPr>
      <w:r>
        <w:t>PostgreSQL performance tuning deficiencies</w:t>
      </w:r>
    </w:p>
    <w:p w14:paraId="63C3B21E" w14:textId="77777777" w:rsidR="006052BA" w:rsidRDefault="00000000">
      <w:pPr>
        <w:pStyle w:val="ListBullet"/>
        <w:spacing w:after="40"/>
      </w:pPr>
      <w:r>
        <w:t>Schema design problems and data inconsistencies</w:t>
      </w:r>
    </w:p>
    <w:p w14:paraId="65951E29" w14:textId="77777777" w:rsidR="006052BA" w:rsidRDefault="00000000">
      <w:pPr>
        <w:pStyle w:val="ListBullet"/>
        <w:spacing w:after="40"/>
      </w:pPr>
      <w:r>
        <w:t>Race conditions and transaction deadlocks</w:t>
      </w:r>
    </w:p>
    <w:p w14:paraId="24B2EF00" w14:textId="77777777" w:rsidR="006052BA" w:rsidRDefault="00000000">
      <w:pPr>
        <w:pStyle w:val="ListBullet"/>
        <w:spacing w:after="40"/>
      </w:pPr>
      <w:r>
        <w:t>Orphan records and missing foreign key constraints</w:t>
      </w:r>
    </w:p>
    <w:p w14:paraId="7F87A03F" w14:textId="77777777" w:rsidR="006052BA" w:rsidRDefault="00000000">
      <w:pPr>
        <w:pStyle w:val="ListBullet"/>
        <w:spacing w:after="40"/>
      </w:pPr>
      <w:r>
        <w:t>Inaccurate OLAP reporting and warehouse metrics</w:t>
      </w:r>
    </w:p>
    <w:p w14:paraId="111B9B82" w14:textId="77777777" w:rsidR="006052BA" w:rsidRDefault="00000000">
      <w:pPr>
        <w:spacing w:before="120" w:after="120"/>
      </w:pPr>
      <w:r>
        <w:br/>
        <w:t>Each category was addressed with a dedicated SQL file, keeping the scope of each fix narrow and the intent easy to communicate. Bad or unresolvable data was preserved in error or quarantine tables rather than discarded, ensuring no records were silently lost.</w:t>
      </w:r>
    </w:p>
    <w:p w14:paraId="6B297F0C" w14:textId="77777777" w:rsidR="006052BA" w:rsidRDefault="00000000">
      <w:pPr>
        <w:pStyle w:val="Heading1"/>
      </w:pPr>
      <w:r>
        <w:lastRenderedPageBreak/>
        <w:t>3. File-by-File Details</w:t>
      </w:r>
    </w:p>
    <w:p w14:paraId="31FBF1BC" w14:textId="77777777" w:rsidR="006052BA" w:rsidRDefault="00000000">
      <w:pPr>
        <w:pStyle w:val="Heading2"/>
      </w:pPr>
      <w:r>
        <w:t>3.1  security.sql — Security Hardening</w:t>
      </w:r>
    </w:p>
    <w:p w14:paraId="2975953C" w14:textId="77777777" w:rsidR="006052BA" w:rsidRDefault="00000000">
      <w:pPr>
        <w:pStyle w:val="Heading3"/>
      </w:pPr>
      <w:r>
        <w:t>Problem</w:t>
      </w:r>
    </w:p>
    <w:p w14:paraId="1EEAF3C5" w14:textId="77777777" w:rsidR="006052BA" w:rsidRDefault="00000000">
      <w:pPr>
        <w:pStyle w:val="ListBullet"/>
        <w:spacing w:after="40"/>
      </w:pPr>
      <w:r>
        <w:t>One shared application account held superuser access across the entire database.</w:t>
      </w:r>
    </w:p>
    <w:p w14:paraId="36967F4B" w14:textId="77777777" w:rsidR="006052BA" w:rsidRDefault="00000000">
      <w:pPr>
        <w:pStyle w:val="ListBullet"/>
        <w:spacing w:after="40"/>
      </w:pPr>
      <w:r>
        <w:t>Database credentials were stored in plain text.</w:t>
      </w:r>
    </w:p>
    <w:p w14:paraId="469E38F6" w14:textId="77777777" w:rsidR="006052BA" w:rsidRDefault="00000000">
      <w:pPr>
        <w:pStyle w:val="ListBullet"/>
        <w:spacing w:after="40"/>
      </w:pPr>
      <w:r>
        <w:t>Audit logging was either missing or not properly configured.</w:t>
      </w:r>
    </w:p>
    <w:p w14:paraId="3EFC119B" w14:textId="77777777" w:rsidR="006052BA" w:rsidRDefault="00000000">
      <w:pPr>
        <w:pStyle w:val="ListBullet"/>
        <w:spacing w:after="40"/>
      </w:pPr>
      <w:r>
        <w:t>TLS configuration was weak and allowed fallback to plain text connections.</w:t>
      </w:r>
    </w:p>
    <w:p w14:paraId="673C31C9" w14:textId="77777777" w:rsidR="006052BA" w:rsidRDefault="00000000">
      <w:pPr>
        <w:pStyle w:val="ListBullet"/>
        <w:spacing w:after="40"/>
      </w:pPr>
      <w:r>
        <w:t>Backup and recovery was not set up for point-in-time restore (PITR).</w:t>
      </w:r>
    </w:p>
    <w:p w14:paraId="0B4EDAFE" w14:textId="77777777" w:rsidR="006052BA" w:rsidRDefault="00000000">
      <w:pPr>
        <w:pStyle w:val="ListBullet"/>
        <w:spacing w:after="40"/>
      </w:pPr>
      <w:r>
        <w:t>Card data (PCI-relevant) was not encrypted or protected appropriately.</w:t>
      </w:r>
    </w:p>
    <w:p w14:paraId="6B33F61F" w14:textId="77777777" w:rsidR="006052BA" w:rsidRDefault="00000000">
      <w:pPr>
        <w:pStyle w:val="Heading3"/>
      </w:pPr>
      <w:r>
        <w:t>What Was Done</w:t>
      </w:r>
    </w:p>
    <w:p w14:paraId="4375F7C6" w14:textId="77777777" w:rsidR="006052BA" w:rsidRDefault="00000000">
      <w:pPr>
        <w:pStyle w:val="ListBullet"/>
        <w:spacing w:after="40"/>
      </w:pPr>
      <w:r>
        <w:t>Removed superuser rights from the novamart_app account.</w:t>
      </w:r>
    </w:p>
    <w:p w14:paraId="1FAF5228" w14:textId="77777777" w:rsidR="006052BA" w:rsidRDefault="00000000">
      <w:pPr>
        <w:pStyle w:val="ListBullet"/>
        <w:spacing w:after="40"/>
      </w:pPr>
      <w:r>
        <w:t>Created low-privilege roles with separate read and write permissions.</w:t>
      </w:r>
    </w:p>
    <w:p w14:paraId="23EF793D" w14:textId="77777777" w:rsidR="006052BA" w:rsidRDefault="00000000">
      <w:pPr>
        <w:pStyle w:val="ListBullet"/>
        <w:spacing w:after="40"/>
      </w:pPr>
      <w:r>
        <w:t>Enabled the pgcrypto extension to support card data encryption.</w:t>
      </w:r>
    </w:p>
    <w:p w14:paraId="350ACF2F" w14:textId="77777777" w:rsidR="006052BA" w:rsidRDefault="00000000">
      <w:pPr>
        <w:pStyle w:val="ListBullet"/>
        <w:spacing w:after="40"/>
      </w:pPr>
      <w:r>
        <w:t>Enabled pgaudit for comprehensive audit logging.</w:t>
      </w:r>
    </w:p>
    <w:p w14:paraId="7ABB167D" w14:textId="77777777" w:rsidR="006052BA" w:rsidRDefault="00000000">
      <w:pPr>
        <w:pStyle w:val="ListBullet"/>
        <w:spacing w:after="40"/>
      </w:pPr>
      <w:r>
        <w:t>Forced TLS settings to prevent plain text fallback.</w:t>
      </w:r>
    </w:p>
    <w:p w14:paraId="765AA022" w14:textId="77777777" w:rsidR="006052BA" w:rsidRDefault="00000000">
      <w:pPr>
        <w:pStyle w:val="ListBullet"/>
        <w:spacing w:after="40"/>
      </w:pPr>
      <w:r>
        <w:t>Turned on WAL archiving to enable point-in-time recovery.</w:t>
      </w:r>
    </w:p>
    <w:p w14:paraId="0DBE39C2" w14:textId="77777777" w:rsidR="006052BA" w:rsidRDefault="00000000">
      <w:pPr>
        <w:pStyle w:val="ListBullet"/>
        <w:spacing w:after="40"/>
      </w:pPr>
      <w:r>
        <w:t>Added a helper function to support regular password rotation.</w:t>
      </w:r>
    </w:p>
    <w:p w14:paraId="55BA6F43" w14:textId="77777777" w:rsidR="006052BA" w:rsidRDefault="00000000">
      <w:pPr>
        <w:pStyle w:val="Heading3"/>
      </w:pPr>
      <w:r>
        <w:t>Why This Helps</w:t>
      </w:r>
    </w:p>
    <w:p w14:paraId="6C4B487C" w14:textId="77777777" w:rsidR="006052BA" w:rsidRDefault="00000000">
      <w:pPr>
        <w:spacing w:after="160"/>
      </w:pPr>
      <w:r>
        <w:t>Reducing the privileges of the application account limits the blast radius if an app server is ever compromised. Audit logging provides an evidence trail for compliance purposes. WAL archiving enables recovery to any point in time, which is critical for disaster recovery.</w:t>
      </w:r>
    </w:p>
    <w:p w14:paraId="1F28B383" w14:textId="77777777" w:rsidR="006052BA" w:rsidRDefault="006052BA">
      <w:pPr>
        <w:pBdr>
          <w:bottom w:val="single" w:sz="6" w:space="1" w:color="2E75B6"/>
        </w:pBdr>
        <w:spacing w:before="80" w:after="80"/>
      </w:pPr>
    </w:p>
    <w:p w14:paraId="777B62CE" w14:textId="77777777" w:rsidR="006052BA" w:rsidRDefault="00000000">
      <w:pPr>
        <w:pStyle w:val="Heading2"/>
      </w:pPr>
      <w:r>
        <w:t>3.2  tuning.sql — PostgreSQL Performance Tuning</w:t>
      </w:r>
    </w:p>
    <w:p w14:paraId="538A7E35" w14:textId="77777777" w:rsidR="006052BA" w:rsidRDefault="00000000">
      <w:pPr>
        <w:pStyle w:val="Heading3"/>
      </w:pPr>
      <w:r>
        <w:t>Problem</w:t>
      </w:r>
    </w:p>
    <w:p w14:paraId="03189D63" w14:textId="77777777" w:rsidR="006052BA" w:rsidRDefault="00000000">
      <w:pPr>
        <w:pStyle w:val="ListBullet"/>
        <w:spacing w:after="40"/>
      </w:pPr>
      <w:r>
        <w:t>The PostgreSQL server was running almost entirely on default configuration settings.</w:t>
      </w:r>
    </w:p>
    <w:p w14:paraId="625A822E" w14:textId="77777777" w:rsidR="006052BA" w:rsidRDefault="00000000">
      <w:pPr>
        <w:pStyle w:val="ListBullet"/>
        <w:spacing w:after="40"/>
      </w:pPr>
      <w:r>
        <w:t>Slow queries and poor planner decisions were caused by inadequate memory settings.</w:t>
      </w:r>
    </w:p>
    <w:p w14:paraId="454106CA" w14:textId="77777777" w:rsidR="006052BA" w:rsidRDefault="00000000">
      <w:pPr>
        <w:pStyle w:val="ListBullet"/>
        <w:spacing w:after="40"/>
      </w:pPr>
      <w:r>
        <w:t>Autovacuum was not tuned for the NovaMart workload, leading to table bloat.</w:t>
      </w:r>
    </w:p>
    <w:p w14:paraId="6AAE4953" w14:textId="77777777" w:rsidR="006052BA" w:rsidRDefault="00000000">
      <w:pPr>
        <w:pStyle w:val="ListBullet"/>
        <w:spacing w:after="40"/>
      </w:pPr>
      <w:r>
        <w:t>Default statistics targets caused the query planner to make suboptimal choices.</w:t>
      </w:r>
    </w:p>
    <w:p w14:paraId="3B3FDC1B" w14:textId="77777777" w:rsidR="006052BA" w:rsidRDefault="00000000">
      <w:pPr>
        <w:pStyle w:val="Heading3"/>
      </w:pPr>
      <w:r>
        <w:t>What Was Done</w:t>
      </w:r>
    </w:p>
    <w:p w14:paraId="1BEBC151" w14:textId="77777777" w:rsidR="006052BA" w:rsidRDefault="00000000">
      <w:pPr>
        <w:pStyle w:val="ListBullet"/>
        <w:spacing w:after="40"/>
      </w:pPr>
      <w:r>
        <w:t>Increased shared_buffers to allow more data to be cached in memory.</w:t>
      </w:r>
    </w:p>
    <w:p w14:paraId="3E63FB2C" w14:textId="77777777" w:rsidR="006052BA" w:rsidRDefault="00000000">
      <w:pPr>
        <w:pStyle w:val="ListBullet"/>
        <w:spacing w:after="40"/>
      </w:pPr>
      <w:r>
        <w:t>Increased effective_cache_size to improve query plan estimates.</w:t>
      </w:r>
    </w:p>
    <w:p w14:paraId="1CA78A0C" w14:textId="77777777" w:rsidR="006052BA" w:rsidRDefault="00000000">
      <w:pPr>
        <w:pStyle w:val="ListBullet"/>
        <w:spacing w:after="40"/>
      </w:pPr>
      <w:r>
        <w:t>Increased work_mem for better sort and hash join performance.</w:t>
      </w:r>
    </w:p>
    <w:p w14:paraId="6267B7A3" w14:textId="77777777" w:rsidR="006052BA" w:rsidRDefault="00000000">
      <w:pPr>
        <w:pStyle w:val="ListBullet"/>
        <w:spacing w:after="40"/>
      </w:pPr>
      <w:r>
        <w:lastRenderedPageBreak/>
        <w:t>Increased maintenance_work_mem for faster VACUUM and index builds.</w:t>
      </w:r>
    </w:p>
    <w:p w14:paraId="3FFCDAC8" w14:textId="77777777" w:rsidR="006052BA" w:rsidRDefault="00000000">
      <w:pPr>
        <w:pStyle w:val="ListBullet"/>
        <w:spacing w:after="40"/>
      </w:pPr>
      <w:r>
        <w:t>Set a realistic max_connections to avoid connection overhead.</w:t>
      </w:r>
    </w:p>
    <w:p w14:paraId="6261FA14" w14:textId="77777777" w:rsidR="006052BA" w:rsidRDefault="00000000">
      <w:pPr>
        <w:pStyle w:val="ListBullet"/>
        <w:spacing w:after="40"/>
      </w:pPr>
      <w:r>
        <w:t>Re-enabled and tuned autovacuum thresholds and scale factors.</w:t>
      </w:r>
    </w:p>
    <w:p w14:paraId="63C3BFC8" w14:textId="77777777" w:rsidR="006052BA" w:rsidRDefault="00000000">
      <w:pPr>
        <w:pStyle w:val="ListBullet"/>
        <w:spacing w:after="40"/>
      </w:pPr>
      <w:r>
        <w:t>Improved checkpoint settings to reduce I/O spikes.</w:t>
      </w:r>
    </w:p>
    <w:p w14:paraId="67A158C9" w14:textId="77777777" w:rsidR="006052BA" w:rsidRDefault="00000000">
      <w:pPr>
        <w:pStyle w:val="ListBullet"/>
        <w:spacing w:after="40"/>
      </w:pPr>
      <w:r>
        <w:t>Raised default_statistics_target to give the planner more accurate data distribution info.</w:t>
      </w:r>
    </w:p>
    <w:p w14:paraId="33D7FDE6" w14:textId="77777777" w:rsidR="006052BA" w:rsidRDefault="00000000">
      <w:pPr>
        <w:pStyle w:val="Heading3"/>
      </w:pPr>
      <w:r>
        <w:t>Why This Helps</w:t>
      </w:r>
    </w:p>
    <w:p w14:paraId="00342318" w14:textId="77777777" w:rsidR="006052BA" w:rsidRDefault="00000000">
      <w:pPr>
        <w:spacing w:after="160"/>
      </w:pPr>
      <w:r>
        <w:t>Properly tuned PostgreSQL settings allow the query planner to make much better decisions. Fresh table statistics reduce the risk of sequential scans where index scans would be faster. Regular autovacuum prevents table and index bloat from accumulating over time.</w:t>
      </w:r>
    </w:p>
    <w:p w14:paraId="6B330E95" w14:textId="77777777" w:rsidR="006052BA" w:rsidRDefault="006052BA">
      <w:pPr>
        <w:pBdr>
          <w:bottom w:val="single" w:sz="6" w:space="1" w:color="2E75B6"/>
        </w:pBdr>
        <w:spacing w:before="80" w:after="80"/>
      </w:pPr>
    </w:p>
    <w:p w14:paraId="20C3532F" w14:textId="77777777" w:rsidR="006052BA" w:rsidRDefault="00000000">
      <w:pPr>
        <w:pStyle w:val="Heading2"/>
      </w:pPr>
      <w:r>
        <w:t>3.3  schema_migration.sql — Schema Redesign and Data Cleanup</w:t>
      </w:r>
    </w:p>
    <w:p w14:paraId="005AE6E7" w14:textId="77777777" w:rsidR="006052BA" w:rsidRDefault="00000000">
      <w:pPr>
        <w:pStyle w:val="Heading3"/>
      </w:pPr>
      <w:r>
        <w:t>Problem</w:t>
      </w:r>
    </w:p>
    <w:p w14:paraId="3A58E191" w14:textId="77777777" w:rsidR="006052BA" w:rsidRDefault="00000000">
      <w:pPr>
        <w:pStyle w:val="ListBullet"/>
        <w:spacing w:after="40"/>
      </w:pPr>
      <w:r>
        <w:t>The Products table contained physical products, digital products, financial products, and logistics services all mixed together in one flat table.</w:t>
      </w:r>
    </w:p>
    <w:p w14:paraId="7ED2539C" w14:textId="77777777" w:rsidR="006052BA" w:rsidRDefault="00000000">
      <w:pPr>
        <w:pStyle w:val="ListBullet"/>
        <w:spacing w:after="40"/>
      </w:pPr>
      <w:r>
        <w:t>This design created large numbers of NULL columns depending on product type.</w:t>
      </w:r>
    </w:p>
    <w:p w14:paraId="65DE9163" w14:textId="77777777" w:rsidR="006052BA" w:rsidRDefault="00000000">
      <w:pPr>
        <w:pStyle w:val="ListBullet"/>
        <w:spacing w:after="40"/>
      </w:pPr>
      <w:r>
        <w:t>The Customers.profile_data field held inconsistent, malformed JSON content.</w:t>
      </w:r>
    </w:p>
    <w:p w14:paraId="267C7DA0" w14:textId="77777777" w:rsidR="006052BA" w:rsidRDefault="00000000">
      <w:pPr>
        <w:pStyle w:val="Heading3"/>
      </w:pPr>
      <w:r>
        <w:t>What Was Done</w:t>
      </w:r>
    </w:p>
    <w:p w14:paraId="10EC23DE" w14:textId="77777777" w:rsidR="006052BA" w:rsidRDefault="00000000">
      <w:pPr>
        <w:pStyle w:val="ListBullet"/>
        <w:spacing w:after="40"/>
      </w:pPr>
      <w:r>
        <w:t>Created separate subtype tables for each product category.</w:t>
      </w:r>
    </w:p>
    <w:p w14:paraId="4E28ACBA" w14:textId="77777777" w:rsidR="006052BA" w:rsidRDefault="00000000">
      <w:pPr>
        <w:pStyle w:val="ListBullet"/>
        <w:spacing w:after="40"/>
      </w:pPr>
      <w:r>
        <w:t>Migrated existing product rows into the correct subtype table based on product_type value.</w:t>
      </w:r>
    </w:p>
    <w:p w14:paraId="09773470" w14:textId="77777777" w:rsidR="006052BA" w:rsidRDefault="00000000">
      <w:pPr>
        <w:pStyle w:val="ListBullet"/>
        <w:spacing w:after="40"/>
      </w:pPr>
      <w:r>
        <w:t>Created structured tables for customer profile data.</w:t>
      </w:r>
    </w:p>
    <w:p w14:paraId="3D237080" w14:textId="77777777" w:rsidR="006052BA" w:rsidRDefault="00000000">
      <w:pPr>
        <w:pStyle w:val="ListBullet"/>
        <w:spacing w:after="40"/>
      </w:pPr>
      <w:r>
        <w:t>Created a dedicated error table to capture malformed JSON records.</w:t>
      </w:r>
    </w:p>
    <w:p w14:paraId="139FA0BD" w14:textId="77777777" w:rsidR="006052BA" w:rsidRDefault="00000000">
      <w:pPr>
        <w:pStyle w:val="ListBullet"/>
        <w:spacing w:after="40"/>
      </w:pPr>
      <w:r>
        <w:t>Preserved bad rows for manual review rather than silently discarding them.</w:t>
      </w:r>
    </w:p>
    <w:p w14:paraId="6DE63C03" w14:textId="77777777" w:rsidR="006052BA" w:rsidRDefault="00000000">
      <w:pPr>
        <w:pStyle w:val="Heading3"/>
      </w:pPr>
      <w:r>
        <w:t>Why This Helps</w:t>
      </w:r>
    </w:p>
    <w:p w14:paraId="349938A0" w14:textId="77777777" w:rsidR="006052BA" w:rsidRDefault="00000000">
      <w:pPr>
        <w:spacing w:after="160"/>
      </w:pPr>
      <w:r>
        <w:t>Splitting one large polymorphic table into focused subtype tables improves data integrity, reduces nullable columns, and makes queries significantly simpler and faster. Routing malformed data to an error table ensures the migration is safe and auditable.</w:t>
      </w:r>
    </w:p>
    <w:p w14:paraId="751E1D6D" w14:textId="77777777" w:rsidR="006052BA" w:rsidRDefault="006052BA">
      <w:pPr>
        <w:pBdr>
          <w:bottom w:val="single" w:sz="6" w:space="1" w:color="2E75B6"/>
        </w:pBdr>
        <w:spacing w:before="80" w:after="80"/>
      </w:pPr>
    </w:p>
    <w:p w14:paraId="1F5BCD7E" w14:textId="77777777" w:rsidR="006052BA" w:rsidRDefault="00000000">
      <w:pPr>
        <w:pStyle w:val="Heading2"/>
      </w:pPr>
      <w:r>
        <w:t>3.4  concurrency.sql — Race Conditions and Deadlocks</w:t>
      </w:r>
    </w:p>
    <w:p w14:paraId="1FE72E05" w14:textId="77777777" w:rsidR="006052BA" w:rsidRDefault="00000000">
      <w:pPr>
        <w:pStyle w:val="Heading3"/>
      </w:pPr>
      <w:r>
        <w:t>Problem</w:t>
      </w:r>
    </w:p>
    <w:p w14:paraId="02DD4817" w14:textId="77777777" w:rsidR="006052BA" w:rsidRDefault="00000000">
      <w:pPr>
        <w:pStyle w:val="ListBullet"/>
        <w:spacing w:after="40"/>
      </w:pPr>
      <w:r>
        <w:t>Two concurrent users could reserve the same inventory item simultaneously.</w:t>
      </w:r>
    </w:p>
    <w:p w14:paraId="7E235EC3" w14:textId="77777777" w:rsidR="006052BA" w:rsidRDefault="00000000">
      <w:pPr>
        <w:pStyle w:val="ListBullet"/>
        <w:spacing w:after="40"/>
      </w:pPr>
      <w:r>
        <w:t>Balance update operations could overwrite each other under high concurrency.</w:t>
      </w:r>
    </w:p>
    <w:p w14:paraId="2DF758D4" w14:textId="77777777" w:rsidR="006052BA" w:rsidRDefault="00000000">
      <w:pPr>
        <w:pStyle w:val="ListBullet"/>
        <w:spacing w:after="40"/>
      </w:pPr>
      <w:r>
        <w:lastRenderedPageBreak/>
        <w:t>Order creation and inventory adjustment were not wrapped in a single atomic transaction.</w:t>
      </w:r>
    </w:p>
    <w:p w14:paraId="05177C55" w14:textId="77777777" w:rsidR="006052BA" w:rsidRDefault="00000000">
      <w:pPr>
        <w:pStyle w:val="Heading3"/>
      </w:pPr>
      <w:r>
        <w:t>What Was Done</w:t>
      </w:r>
    </w:p>
    <w:p w14:paraId="71098F02" w14:textId="77777777" w:rsidR="006052BA" w:rsidRDefault="00000000">
      <w:pPr>
        <w:pStyle w:val="ListBullet"/>
        <w:spacing w:after="40"/>
      </w:pPr>
      <w:r>
        <w:t>Added SELECT FOR UPDATE locking when reading inventory rows before modification.</w:t>
      </w:r>
    </w:p>
    <w:p w14:paraId="16C04088" w14:textId="77777777" w:rsidR="006052BA" w:rsidRDefault="00000000">
      <w:pPr>
        <w:pStyle w:val="ListBullet"/>
        <w:spacing w:after="40"/>
      </w:pPr>
      <w:r>
        <w:t>Wrapped order creation and stock update together inside a single transaction.</w:t>
      </w:r>
    </w:p>
    <w:p w14:paraId="68785E2C" w14:textId="77777777" w:rsidR="006052BA" w:rsidRDefault="00000000">
      <w:pPr>
        <w:pStyle w:val="ListBullet"/>
        <w:spacing w:after="40"/>
      </w:pPr>
      <w:r>
        <w:t>Introduced a version column pattern to detect and reject lost updates on balance fields.</w:t>
      </w:r>
    </w:p>
    <w:p w14:paraId="6CC1A3BC" w14:textId="77777777" w:rsidR="006052BA" w:rsidRDefault="00000000">
      <w:pPr>
        <w:pStyle w:val="Heading3"/>
      </w:pPr>
      <w:r>
        <w:t>Why This Helps</w:t>
      </w:r>
    </w:p>
    <w:p w14:paraId="5BB356C3" w14:textId="77777777" w:rsidR="006052BA" w:rsidRDefault="00000000">
      <w:pPr>
        <w:spacing w:after="160"/>
      </w:pPr>
      <w:r>
        <w:t>Row-level locking with FOR UPDATE prevents two concurrent transactions from modifying the same inventory row at the same time. Combining the order insert and stock decrement in one transaction guarantees atomicity — either both succeed or both roll back. The version column approach prevents silent lost updates on financial balances.</w:t>
      </w:r>
    </w:p>
    <w:p w14:paraId="0A144D3C" w14:textId="77777777" w:rsidR="006052BA" w:rsidRDefault="006052BA">
      <w:pPr>
        <w:pBdr>
          <w:bottom w:val="single" w:sz="6" w:space="1" w:color="2E75B6"/>
        </w:pBdr>
        <w:spacing w:before="80" w:after="80"/>
      </w:pPr>
    </w:p>
    <w:p w14:paraId="47E3BAD5" w14:textId="77777777" w:rsidR="006052BA" w:rsidRDefault="00000000">
      <w:pPr>
        <w:pStyle w:val="Heading2"/>
      </w:pPr>
      <w:r>
        <w:t>3.5  reconciliation.sql — Orphan Records and FK Repair</w:t>
      </w:r>
    </w:p>
    <w:p w14:paraId="06835486" w14:textId="77777777" w:rsidR="006052BA" w:rsidRDefault="00000000">
      <w:pPr>
        <w:pStyle w:val="Heading3"/>
      </w:pPr>
      <w:r>
        <w:t>Problem</w:t>
      </w:r>
    </w:p>
    <w:p w14:paraId="774E55AB" w14:textId="77777777" w:rsidR="006052BA" w:rsidRDefault="00000000">
      <w:pPr>
        <w:pStyle w:val="ListBullet"/>
        <w:spacing w:after="40"/>
      </w:pPr>
      <w:r>
        <w:t>Foreign key constraints were missing on NovaPay plan records, allowing orphan rows to accumulate.</w:t>
      </w:r>
    </w:p>
    <w:p w14:paraId="13397BC8" w14:textId="77777777" w:rsidR="006052BA" w:rsidRDefault="00000000">
      <w:pPr>
        <w:pStyle w:val="ListBullet"/>
        <w:spacing w:after="40"/>
      </w:pPr>
      <w:r>
        <w:t>Some plan records referenced customer or parent rows that no longer existed.</w:t>
      </w:r>
    </w:p>
    <w:p w14:paraId="1F4E6879" w14:textId="77777777" w:rsidR="006052BA" w:rsidRDefault="00000000">
      <w:pPr>
        <w:pStyle w:val="ListBullet"/>
        <w:spacing w:after="40"/>
      </w:pPr>
      <w:r>
        <w:t>The nightly billing job processed orphan records unnecessarily, wasting time and creating errors.</w:t>
      </w:r>
    </w:p>
    <w:p w14:paraId="1E0AA201" w14:textId="77777777" w:rsidR="006052BA" w:rsidRDefault="00000000">
      <w:pPr>
        <w:pStyle w:val="Heading3"/>
      </w:pPr>
      <w:r>
        <w:t>What Was Done</w:t>
      </w:r>
    </w:p>
    <w:p w14:paraId="18F5D51C" w14:textId="77777777" w:rsidR="006052BA" w:rsidRDefault="00000000">
      <w:pPr>
        <w:pStyle w:val="ListBullet"/>
        <w:spacing w:after="40"/>
      </w:pPr>
      <w:r>
        <w:t>Identified all orphan NovaPay plan rows that lacked valid parent references.</w:t>
      </w:r>
    </w:p>
    <w:p w14:paraId="29FD575C" w14:textId="77777777" w:rsidR="006052BA" w:rsidRDefault="00000000">
      <w:pPr>
        <w:pStyle w:val="ListBullet"/>
        <w:spacing w:after="40"/>
      </w:pPr>
      <w:r>
        <w:t>Moved orphan rows into a dedicated quarantine table for separate review.</w:t>
      </w:r>
    </w:p>
    <w:p w14:paraId="770D2322" w14:textId="77777777" w:rsidR="006052BA" w:rsidRDefault="00000000">
      <w:pPr>
        <w:pStyle w:val="ListBullet"/>
        <w:spacing w:after="40"/>
      </w:pPr>
      <w:r>
        <w:t>Preserved collectible debt records so the business can still follow up on outstanding amounts.</w:t>
      </w:r>
    </w:p>
    <w:p w14:paraId="4E09D0D4" w14:textId="77777777" w:rsidR="006052BA" w:rsidRDefault="00000000">
      <w:pPr>
        <w:pStyle w:val="ListBullet"/>
        <w:spacing w:after="40"/>
      </w:pPr>
      <w:r>
        <w:t>Re-added missing foreign key constraints using NOT VALID to avoid locking the full table.</w:t>
      </w:r>
    </w:p>
    <w:p w14:paraId="699D2A0F" w14:textId="77777777" w:rsidR="006052BA" w:rsidRDefault="00000000">
      <w:pPr>
        <w:pStyle w:val="ListBullet"/>
        <w:spacing w:after="40"/>
      </w:pPr>
      <w:r>
        <w:t>Scheduled a subsequent VALIDATE CONSTRAINT step to check existing data safely.</w:t>
      </w:r>
    </w:p>
    <w:p w14:paraId="4D636182" w14:textId="77777777" w:rsidR="006052BA" w:rsidRDefault="00000000">
      <w:pPr>
        <w:pStyle w:val="Heading3"/>
      </w:pPr>
      <w:r>
        <w:t>Why This Helps</w:t>
      </w:r>
    </w:p>
    <w:p w14:paraId="78A08CD1" w14:textId="77777777" w:rsidR="006052BA" w:rsidRDefault="00000000">
      <w:pPr>
        <w:spacing w:after="160"/>
      </w:pPr>
      <w:r>
        <w:t>Quarantining orphan records rather than deleting them ensures no collectible debt is lost. Using NOT VALID when adding foreign keys allows the constraint to be introduced without a full table scan and lock, which is critical for large production tables.</w:t>
      </w:r>
    </w:p>
    <w:p w14:paraId="424730E7" w14:textId="77777777" w:rsidR="006052BA" w:rsidRDefault="006052BA">
      <w:pPr>
        <w:pBdr>
          <w:bottom w:val="single" w:sz="6" w:space="1" w:color="2E75B6"/>
        </w:pBdr>
        <w:spacing w:before="80" w:after="80"/>
      </w:pPr>
    </w:p>
    <w:p w14:paraId="402BD4E0" w14:textId="77777777" w:rsidR="006052BA" w:rsidRDefault="00000000">
      <w:pPr>
        <w:pStyle w:val="Heading2"/>
      </w:pPr>
      <w:r>
        <w:lastRenderedPageBreak/>
        <w:t>3.6  olap_queries.sql — OLAP and Reporting Corrections</w:t>
      </w:r>
    </w:p>
    <w:p w14:paraId="6C926FBC" w14:textId="77777777" w:rsidR="006052BA" w:rsidRDefault="00000000">
      <w:pPr>
        <w:pStyle w:val="Heading3"/>
      </w:pPr>
      <w:r>
        <w:t>Problem</w:t>
      </w:r>
    </w:p>
    <w:p w14:paraId="48D581BF" w14:textId="77777777" w:rsidR="006052BA" w:rsidRDefault="00000000">
      <w:pPr>
        <w:pStyle w:val="ListBullet"/>
        <w:spacing w:after="40"/>
      </w:pPr>
      <w:r>
        <w:t>Reported revenue figures did not account for refunds or applied discounts.</w:t>
      </w:r>
    </w:p>
    <w:p w14:paraId="41DF5F5E" w14:textId="77777777" w:rsidR="006052BA" w:rsidRDefault="00000000">
      <w:pPr>
        <w:pStyle w:val="ListBullet"/>
        <w:spacing w:after="40"/>
      </w:pPr>
      <w:r>
        <w:t>Tax reporting used transaction date instead of the correct payment date.</w:t>
      </w:r>
    </w:p>
    <w:p w14:paraId="315A70F7" w14:textId="77777777" w:rsidR="006052BA" w:rsidRDefault="00000000">
      <w:pPr>
        <w:pStyle w:val="ListBullet"/>
        <w:spacing w:after="40"/>
      </w:pPr>
      <w:r>
        <w:t>City-level attribution logic was incorrect, causing geographic reporting errors.</w:t>
      </w:r>
    </w:p>
    <w:p w14:paraId="75AC8912" w14:textId="77777777" w:rsidR="006052BA" w:rsidRDefault="00000000">
      <w:pPr>
        <w:pStyle w:val="ListBullet"/>
        <w:spacing w:after="40"/>
      </w:pPr>
      <w:r>
        <w:t>Default rate calculations used flawed rules that produced misleading results.</w:t>
      </w:r>
    </w:p>
    <w:p w14:paraId="77137378" w14:textId="77777777" w:rsidR="006052BA" w:rsidRDefault="00000000">
      <w:pPr>
        <w:pStyle w:val="ListBullet"/>
        <w:spacing w:after="40"/>
      </w:pPr>
      <w:r>
        <w:t>Inventory turnover was computed using end-of-period stock rather than an average.</w:t>
      </w:r>
    </w:p>
    <w:p w14:paraId="4041AD11" w14:textId="77777777" w:rsidR="006052BA" w:rsidRDefault="00000000">
      <w:pPr>
        <w:pStyle w:val="ListBullet"/>
        <w:spacing w:after="40"/>
      </w:pPr>
      <w:r>
        <w:t>Basket-size reporting incorrectly included non-retail order types.</w:t>
      </w:r>
    </w:p>
    <w:p w14:paraId="3299435D" w14:textId="77777777" w:rsidR="006052BA" w:rsidRDefault="00000000">
      <w:pPr>
        <w:pStyle w:val="Heading3"/>
      </w:pPr>
      <w:r>
        <w:t>What Was Done</w:t>
      </w:r>
    </w:p>
    <w:p w14:paraId="3CBA06A0" w14:textId="77777777" w:rsidR="006052BA" w:rsidRDefault="00000000">
      <w:pPr>
        <w:pStyle w:val="ListBullet"/>
        <w:spacing w:after="40"/>
      </w:pPr>
      <w:r>
        <w:t>Created a revenue view that subtracts refunds and discounts from gross amounts.</w:t>
      </w:r>
    </w:p>
    <w:p w14:paraId="479CF8AC" w14:textId="77777777" w:rsidR="006052BA" w:rsidRDefault="00000000">
      <w:pPr>
        <w:pStyle w:val="ListBullet"/>
        <w:spacing w:after="40"/>
      </w:pPr>
      <w:r>
        <w:t>Switched tax reporting to use payment date for correct period attribution.</w:t>
      </w:r>
    </w:p>
    <w:p w14:paraId="6BFCC270" w14:textId="77777777" w:rsidR="006052BA" w:rsidRDefault="00000000">
      <w:pPr>
        <w:pStyle w:val="ListBullet"/>
        <w:spacing w:after="40"/>
      </w:pPr>
      <w:r>
        <w:t>Fixed the city attribution join logic to resolve geographic mismatches.</w:t>
      </w:r>
    </w:p>
    <w:p w14:paraId="5ABC285D" w14:textId="77777777" w:rsidR="006052BA" w:rsidRDefault="00000000">
      <w:pPr>
        <w:pStyle w:val="ListBullet"/>
        <w:spacing w:after="40"/>
      </w:pPr>
      <w:r>
        <w:t>Recalculated the default rate using corrected eligibility and outcome rules.</w:t>
      </w:r>
    </w:p>
    <w:p w14:paraId="7F65645A" w14:textId="77777777" w:rsidR="006052BA" w:rsidRDefault="00000000">
      <w:pPr>
        <w:pStyle w:val="ListBullet"/>
        <w:spacing w:after="40"/>
      </w:pPr>
      <w:r>
        <w:t>Updated inventory turnover to use an average of beginning and ending stock.</w:t>
      </w:r>
    </w:p>
    <w:p w14:paraId="6FC7D876" w14:textId="77777777" w:rsidR="006052BA" w:rsidRDefault="00000000">
      <w:pPr>
        <w:pStyle w:val="ListBullet"/>
        <w:spacing w:after="40"/>
      </w:pPr>
      <w:r>
        <w:t>Restricted basket-size calculations to retail order types only.</w:t>
      </w:r>
    </w:p>
    <w:p w14:paraId="60C82C2A" w14:textId="77777777" w:rsidR="006052BA" w:rsidRDefault="00000000">
      <w:pPr>
        <w:pStyle w:val="Heading3"/>
      </w:pPr>
      <w:r>
        <w:t>Why This Helps</w:t>
      </w:r>
    </w:p>
    <w:p w14:paraId="7A53267D" w14:textId="77777777" w:rsidR="006052BA" w:rsidRDefault="00000000">
      <w:pPr>
        <w:spacing w:after="160"/>
      </w:pPr>
      <w:r>
        <w:t>Accurate reporting is essential for sound business decisions. Revenue inflated by unaccounted refunds, incorrect tax period attribution, and wrong geographic data all lead to flawed strategic conclusions. The corrected views ensure that board-level and operational reports reflect the actual state of the business.</w:t>
      </w:r>
    </w:p>
    <w:p w14:paraId="62F88471" w14:textId="77777777" w:rsidR="006052BA" w:rsidRDefault="00000000">
      <w:pPr>
        <w:pStyle w:val="Heading1"/>
      </w:pPr>
      <w:r>
        <w:t>4. Part-by-Part Mapping to the Case Study PDF</w:t>
      </w:r>
    </w:p>
    <w:p w14:paraId="72FDC6A1" w14:textId="77777777" w:rsidR="006052BA" w:rsidRDefault="00000000">
      <w:pPr>
        <w:spacing w:after="160"/>
      </w:pPr>
      <w:r>
        <w:t>The table below maps each part of the original NovaMart case study PDF to the corresponding SQL remediation file.</w:t>
      </w:r>
    </w:p>
    <w:tbl>
      <w:tblPr>
        <w:tblStyle w:val="TableGrid"/>
        <w:tblW w:w="0" w:type="auto"/>
        <w:tblLook w:val="04A0" w:firstRow="1" w:lastRow="0" w:firstColumn="1" w:lastColumn="0" w:noHBand="0" w:noVBand="1"/>
      </w:tblPr>
      <w:tblGrid>
        <w:gridCol w:w="1637"/>
        <w:gridCol w:w="4313"/>
        <w:gridCol w:w="3050"/>
      </w:tblGrid>
      <w:tr w:rsidR="006052BA" w14:paraId="64A89ECE" w14:textId="77777777">
        <w:tc>
          <w:tcPr>
            <w:tcW w:w="1701" w:type="dxa"/>
            <w:tcBorders>
              <w:top w:val="single" w:sz="4" w:space="0" w:color="BBBBBB"/>
              <w:left w:val="single" w:sz="4" w:space="0" w:color="BBBBBB"/>
              <w:bottom w:val="single" w:sz="4" w:space="0" w:color="BBBBBB"/>
              <w:right w:val="single" w:sz="4" w:space="0" w:color="BBBBBB"/>
            </w:tcBorders>
            <w:shd w:val="clear" w:color="auto" w:fill="1F4E79"/>
          </w:tcPr>
          <w:p w14:paraId="0CB9F7B1" w14:textId="77777777" w:rsidR="006052BA" w:rsidRDefault="00000000">
            <w:pPr>
              <w:spacing w:before="60" w:after="60"/>
            </w:pPr>
            <w:r>
              <w:rPr>
                <w:b/>
                <w:color w:val="FFFFFF"/>
                <w:sz w:val="20"/>
              </w:rPr>
              <w:t>PDF Part</w:t>
            </w:r>
          </w:p>
        </w:tc>
        <w:tc>
          <w:tcPr>
            <w:tcW w:w="4535" w:type="dxa"/>
            <w:tcBorders>
              <w:top w:val="single" w:sz="4" w:space="0" w:color="BBBBBB"/>
              <w:left w:val="single" w:sz="4" w:space="0" w:color="BBBBBB"/>
              <w:bottom w:val="single" w:sz="4" w:space="0" w:color="BBBBBB"/>
              <w:right w:val="single" w:sz="4" w:space="0" w:color="BBBBBB"/>
            </w:tcBorders>
            <w:shd w:val="clear" w:color="auto" w:fill="1F4E79"/>
          </w:tcPr>
          <w:p w14:paraId="555FF5AD" w14:textId="77777777" w:rsidR="006052BA" w:rsidRDefault="00000000">
            <w:pPr>
              <w:spacing w:before="60" w:after="60"/>
            </w:pPr>
            <w:r>
              <w:rPr>
                <w:b/>
                <w:color w:val="FFFFFF"/>
                <w:sz w:val="20"/>
              </w:rPr>
              <w:t>Problem Type</w:t>
            </w:r>
          </w:p>
        </w:tc>
        <w:tc>
          <w:tcPr>
            <w:tcW w:w="3118" w:type="dxa"/>
            <w:tcBorders>
              <w:top w:val="single" w:sz="4" w:space="0" w:color="BBBBBB"/>
              <w:left w:val="single" w:sz="4" w:space="0" w:color="BBBBBB"/>
              <w:bottom w:val="single" w:sz="4" w:space="0" w:color="BBBBBB"/>
              <w:right w:val="single" w:sz="4" w:space="0" w:color="BBBBBB"/>
            </w:tcBorders>
            <w:shd w:val="clear" w:color="auto" w:fill="1F4E79"/>
          </w:tcPr>
          <w:p w14:paraId="5D60C669" w14:textId="77777777" w:rsidR="006052BA" w:rsidRDefault="00000000">
            <w:pPr>
              <w:spacing w:before="60" w:after="60"/>
            </w:pPr>
            <w:r>
              <w:rPr>
                <w:b/>
                <w:color w:val="FFFFFF"/>
                <w:sz w:val="20"/>
              </w:rPr>
              <w:t>SQL File</w:t>
            </w:r>
          </w:p>
        </w:tc>
      </w:tr>
      <w:tr w:rsidR="006052BA" w14:paraId="7D6FA187" w14:textId="77777777">
        <w:tc>
          <w:tcPr>
            <w:tcW w:w="1701" w:type="dxa"/>
            <w:tcBorders>
              <w:top w:val="single" w:sz="4" w:space="0" w:color="BBBBBB"/>
              <w:left w:val="single" w:sz="4" w:space="0" w:color="BBBBBB"/>
              <w:bottom w:val="single" w:sz="4" w:space="0" w:color="BBBBBB"/>
              <w:right w:val="single" w:sz="4" w:space="0" w:color="BBBBBB"/>
            </w:tcBorders>
          </w:tcPr>
          <w:p w14:paraId="33E13DEC" w14:textId="77777777" w:rsidR="006052BA" w:rsidRDefault="00000000">
            <w:pPr>
              <w:spacing w:before="60" w:after="60"/>
            </w:pPr>
            <w:r>
              <w:rPr>
                <w:sz w:val="20"/>
              </w:rPr>
              <w:t>Part One</w:t>
            </w:r>
          </w:p>
        </w:tc>
        <w:tc>
          <w:tcPr>
            <w:tcW w:w="4535" w:type="dxa"/>
            <w:tcBorders>
              <w:top w:val="single" w:sz="4" w:space="0" w:color="BBBBBB"/>
              <w:left w:val="single" w:sz="4" w:space="0" w:color="BBBBBB"/>
              <w:bottom w:val="single" w:sz="4" w:space="0" w:color="BBBBBB"/>
              <w:right w:val="single" w:sz="4" w:space="0" w:color="BBBBBB"/>
            </w:tcBorders>
          </w:tcPr>
          <w:p w14:paraId="63114E97" w14:textId="77777777" w:rsidR="006052BA" w:rsidRDefault="00000000">
            <w:pPr>
              <w:spacing w:before="60" w:after="60"/>
            </w:pPr>
            <w:r>
              <w:rPr>
                <w:sz w:val="20"/>
              </w:rPr>
              <w:t>Company crisis and background</w:t>
            </w:r>
          </w:p>
        </w:tc>
        <w:tc>
          <w:tcPr>
            <w:tcW w:w="3118" w:type="dxa"/>
            <w:tcBorders>
              <w:top w:val="single" w:sz="4" w:space="0" w:color="BBBBBB"/>
              <w:left w:val="single" w:sz="4" w:space="0" w:color="BBBBBB"/>
              <w:bottom w:val="single" w:sz="4" w:space="0" w:color="BBBBBB"/>
              <w:right w:val="single" w:sz="4" w:space="0" w:color="BBBBBB"/>
            </w:tcBorders>
          </w:tcPr>
          <w:p w14:paraId="2A00D81D" w14:textId="77777777" w:rsidR="006052BA" w:rsidRDefault="00000000">
            <w:pPr>
              <w:spacing w:before="60" w:after="60"/>
            </w:pPr>
            <w:r>
              <w:rPr>
                <w:sz w:val="20"/>
              </w:rPr>
              <w:t>Not directly fixed in SQL</w:t>
            </w:r>
          </w:p>
        </w:tc>
      </w:tr>
      <w:tr w:rsidR="006052BA" w14:paraId="63E7C188" w14:textId="77777777">
        <w:tc>
          <w:tcPr>
            <w:tcW w:w="1701" w:type="dxa"/>
            <w:tcBorders>
              <w:top w:val="single" w:sz="4" w:space="0" w:color="BBBBBB"/>
              <w:left w:val="single" w:sz="4" w:space="0" w:color="BBBBBB"/>
              <w:bottom w:val="single" w:sz="4" w:space="0" w:color="BBBBBB"/>
              <w:right w:val="single" w:sz="4" w:space="0" w:color="BBBBBB"/>
            </w:tcBorders>
            <w:shd w:val="clear" w:color="auto" w:fill="EBF3FB"/>
          </w:tcPr>
          <w:p w14:paraId="3E94C5CF" w14:textId="77777777" w:rsidR="006052BA" w:rsidRDefault="00000000">
            <w:pPr>
              <w:spacing w:before="60" w:after="60"/>
            </w:pPr>
            <w:r>
              <w:rPr>
                <w:sz w:val="20"/>
              </w:rPr>
              <w:t>Part Two</w:t>
            </w:r>
          </w:p>
        </w:tc>
        <w:tc>
          <w:tcPr>
            <w:tcW w:w="4535" w:type="dxa"/>
            <w:tcBorders>
              <w:top w:val="single" w:sz="4" w:space="0" w:color="BBBBBB"/>
              <w:left w:val="single" w:sz="4" w:space="0" w:color="BBBBBB"/>
              <w:bottom w:val="single" w:sz="4" w:space="0" w:color="BBBBBB"/>
              <w:right w:val="single" w:sz="4" w:space="0" w:color="BBBBBB"/>
            </w:tcBorders>
            <w:shd w:val="clear" w:color="auto" w:fill="EBF3FB"/>
          </w:tcPr>
          <w:p w14:paraId="6C756326" w14:textId="77777777" w:rsidR="006052BA" w:rsidRDefault="00000000">
            <w:pPr>
              <w:spacing w:before="60" w:after="60"/>
            </w:pPr>
            <w:r>
              <w:rPr>
                <w:sz w:val="20"/>
              </w:rPr>
              <w:t>Data and system inputs</w:t>
            </w:r>
          </w:p>
        </w:tc>
        <w:tc>
          <w:tcPr>
            <w:tcW w:w="3118" w:type="dxa"/>
            <w:tcBorders>
              <w:top w:val="single" w:sz="4" w:space="0" w:color="BBBBBB"/>
              <w:left w:val="single" w:sz="4" w:space="0" w:color="BBBBBB"/>
              <w:bottom w:val="single" w:sz="4" w:space="0" w:color="BBBBBB"/>
              <w:right w:val="single" w:sz="4" w:space="0" w:color="BBBBBB"/>
            </w:tcBorders>
            <w:shd w:val="clear" w:color="auto" w:fill="EBF3FB"/>
          </w:tcPr>
          <w:p w14:paraId="6E69978C" w14:textId="77777777" w:rsidR="006052BA" w:rsidRDefault="00000000">
            <w:pPr>
              <w:spacing w:before="60" w:after="60"/>
            </w:pPr>
            <w:r>
              <w:rPr>
                <w:sz w:val="20"/>
              </w:rPr>
              <w:t>Not directly fixed in SQL</w:t>
            </w:r>
          </w:p>
        </w:tc>
      </w:tr>
      <w:tr w:rsidR="006052BA" w14:paraId="2CE04EEF" w14:textId="77777777">
        <w:tc>
          <w:tcPr>
            <w:tcW w:w="1701" w:type="dxa"/>
            <w:tcBorders>
              <w:top w:val="single" w:sz="4" w:space="0" w:color="BBBBBB"/>
              <w:left w:val="single" w:sz="4" w:space="0" w:color="BBBBBB"/>
              <w:bottom w:val="single" w:sz="4" w:space="0" w:color="BBBBBB"/>
              <w:right w:val="single" w:sz="4" w:space="0" w:color="BBBBBB"/>
            </w:tcBorders>
          </w:tcPr>
          <w:p w14:paraId="4CF858FE" w14:textId="77777777" w:rsidR="006052BA" w:rsidRDefault="00000000">
            <w:pPr>
              <w:spacing w:before="60" w:after="60"/>
            </w:pPr>
            <w:r>
              <w:rPr>
                <w:sz w:val="20"/>
              </w:rPr>
              <w:t>Part Three</w:t>
            </w:r>
          </w:p>
        </w:tc>
        <w:tc>
          <w:tcPr>
            <w:tcW w:w="4535" w:type="dxa"/>
            <w:tcBorders>
              <w:top w:val="single" w:sz="4" w:space="0" w:color="BBBBBB"/>
              <w:left w:val="single" w:sz="4" w:space="0" w:color="BBBBBB"/>
              <w:bottom w:val="single" w:sz="4" w:space="0" w:color="BBBBBB"/>
              <w:right w:val="single" w:sz="4" w:space="0" w:color="BBBBBB"/>
            </w:tcBorders>
          </w:tcPr>
          <w:p w14:paraId="6E7AF943" w14:textId="77777777" w:rsidR="006052BA" w:rsidRDefault="00000000">
            <w:pPr>
              <w:spacing w:before="60" w:after="60"/>
            </w:pPr>
            <w:r>
              <w:rPr>
                <w:sz w:val="20"/>
              </w:rPr>
              <w:t>Infrastructure tuning</w:t>
            </w:r>
          </w:p>
        </w:tc>
        <w:tc>
          <w:tcPr>
            <w:tcW w:w="3118" w:type="dxa"/>
            <w:tcBorders>
              <w:top w:val="single" w:sz="4" w:space="0" w:color="BBBBBB"/>
              <w:left w:val="single" w:sz="4" w:space="0" w:color="BBBBBB"/>
              <w:bottom w:val="single" w:sz="4" w:space="0" w:color="BBBBBB"/>
              <w:right w:val="single" w:sz="4" w:space="0" w:color="BBBBBB"/>
            </w:tcBorders>
          </w:tcPr>
          <w:p w14:paraId="7EB97C3E" w14:textId="77777777" w:rsidR="006052BA" w:rsidRDefault="00000000">
            <w:pPr>
              <w:spacing w:before="60" w:after="60"/>
            </w:pPr>
            <w:r>
              <w:rPr>
                <w:sz w:val="20"/>
              </w:rPr>
              <w:t>tuning.sql</w:t>
            </w:r>
          </w:p>
        </w:tc>
      </w:tr>
      <w:tr w:rsidR="006052BA" w14:paraId="7C94C460" w14:textId="77777777">
        <w:tc>
          <w:tcPr>
            <w:tcW w:w="1701" w:type="dxa"/>
            <w:tcBorders>
              <w:top w:val="single" w:sz="4" w:space="0" w:color="BBBBBB"/>
              <w:left w:val="single" w:sz="4" w:space="0" w:color="BBBBBB"/>
              <w:bottom w:val="single" w:sz="4" w:space="0" w:color="BBBBBB"/>
              <w:right w:val="single" w:sz="4" w:space="0" w:color="BBBBBB"/>
            </w:tcBorders>
            <w:shd w:val="clear" w:color="auto" w:fill="EBF3FB"/>
          </w:tcPr>
          <w:p w14:paraId="3440FCC5" w14:textId="77777777" w:rsidR="006052BA" w:rsidRDefault="00000000">
            <w:pPr>
              <w:spacing w:before="60" w:after="60"/>
            </w:pPr>
            <w:r>
              <w:rPr>
                <w:sz w:val="20"/>
              </w:rPr>
              <w:t>Part Four</w:t>
            </w:r>
          </w:p>
        </w:tc>
        <w:tc>
          <w:tcPr>
            <w:tcW w:w="4535" w:type="dxa"/>
            <w:tcBorders>
              <w:top w:val="single" w:sz="4" w:space="0" w:color="BBBBBB"/>
              <w:left w:val="single" w:sz="4" w:space="0" w:color="BBBBBB"/>
              <w:bottom w:val="single" w:sz="4" w:space="0" w:color="BBBBBB"/>
              <w:right w:val="single" w:sz="4" w:space="0" w:color="BBBBBB"/>
            </w:tcBorders>
            <w:shd w:val="clear" w:color="auto" w:fill="EBF3FB"/>
          </w:tcPr>
          <w:p w14:paraId="3C2DD228" w14:textId="77777777" w:rsidR="006052BA" w:rsidRDefault="00000000">
            <w:pPr>
              <w:spacing w:before="60" w:after="60"/>
            </w:pPr>
            <w:r>
              <w:rPr>
                <w:sz w:val="20"/>
              </w:rPr>
              <w:t>Schema and data cleanup</w:t>
            </w:r>
          </w:p>
        </w:tc>
        <w:tc>
          <w:tcPr>
            <w:tcW w:w="3118" w:type="dxa"/>
            <w:tcBorders>
              <w:top w:val="single" w:sz="4" w:space="0" w:color="BBBBBB"/>
              <w:left w:val="single" w:sz="4" w:space="0" w:color="BBBBBB"/>
              <w:bottom w:val="single" w:sz="4" w:space="0" w:color="BBBBBB"/>
              <w:right w:val="single" w:sz="4" w:space="0" w:color="BBBBBB"/>
            </w:tcBorders>
            <w:shd w:val="clear" w:color="auto" w:fill="EBF3FB"/>
          </w:tcPr>
          <w:p w14:paraId="44E41209" w14:textId="77777777" w:rsidR="006052BA" w:rsidRDefault="00000000">
            <w:pPr>
              <w:spacing w:before="60" w:after="60"/>
            </w:pPr>
            <w:r>
              <w:rPr>
                <w:sz w:val="20"/>
              </w:rPr>
              <w:t>schema_migration.sql</w:t>
            </w:r>
          </w:p>
        </w:tc>
      </w:tr>
      <w:tr w:rsidR="006052BA" w14:paraId="7093DB1C" w14:textId="77777777">
        <w:tc>
          <w:tcPr>
            <w:tcW w:w="1701" w:type="dxa"/>
            <w:tcBorders>
              <w:top w:val="single" w:sz="4" w:space="0" w:color="BBBBBB"/>
              <w:left w:val="single" w:sz="4" w:space="0" w:color="BBBBBB"/>
              <w:bottom w:val="single" w:sz="4" w:space="0" w:color="BBBBBB"/>
              <w:right w:val="single" w:sz="4" w:space="0" w:color="BBBBBB"/>
            </w:tcBorders>
          </w:tcPr>
          <w:p w14:paraId="723E804C" w14:textId="77777777" w:rsidR="006052BA" w:rsidRDefault="00000000">
            <w:pPr>
              <w:spacing w:before="60" w:after="60"/>
            </w:pPr>
            <w:r>
              <w:rPr>
                <w:sz w:val="20"/>
              </w:rPr>
              <w:t>Part Five</w:t>
            </w:r>
          </w:p>
        </w:tc>
        <w:tc>
          <w:tcPr>
            <w:tcW w:w="4535" w:type="dxa"/>
            <w:tcBorders>
              <w:top w:val="single" w:sz="4" w:space="0" w:color="BBBBBB"/>
              <w:left w:val="single" w:sz="4" w:space="0" w:color="BBBBBB"/>
              <w:bottom w:val="single" w:sz="4" w:space="0" w:color="BBBBBB"/>
              <w:right w:val="single" w:sz="4" w:space="0" w:color="BBBBBB"/>
            </w:tcBorders>
          </w:tcPr>
          <w:p w14:paraId="62CCD353" w14:textId="77777777" w:rsidR="006052BA" w:rsidRDefault="00000000">
            <w:pPr>
              <w:spacing w:before="60" w:after="60"/>
            </w:pPr>
            <w:r>
              <w:rPr>
                <w:sz w:val="20"/>
              </w:rPr>
              <w:t>Slow query planning</w:t>
            </w:r>
          </w:p>
        </w:tc>
        <w:tc>
          <w:tcPr>
            <w:tcW w:w="3118" w:type="dxa"/>
            <w:tcBorders>
              <w:top w:val="single" w:sz="4" w:space="0" w:color="BBBBBB"/>
              <w:left w:val="single" w:sz="4" w:space="0" w:color="BBBBBB"/>
              <w:bottom w:val="single" w:sz="4" w:space="0" w:color="BBBBBB"/>
              <w:right w:val="single" w:sz="4" w:space="0" w:color="BBBBBB"/>
            </w:tcBorders>
          </w:tcPr>
          <w:p w14:paraId="66D410C2" w14:textId="77777777" w:rsidR="006052BA" w:rsidRDefault="00000000">
            <w:pPr>
              <w:spacing w:before="60" w:after="60"/>
            </w:pPr>
            <w:r>
              <w:rPr>
                <w:sz w:val="20"/>
              </w:rPr>
              <w:t>tuning.sql</w:t>
            </w:r>
          </w:p>
        </w:tc>
      </w:tr>
      <w:tr w:rsidR="006052BA" w14:paraId="56D8B252" w14:textId="77777777">
        <w:tc>
          <w:tcPr>
            <w:tcW w:w="1701" w:type="dxa"/>
            <w:tcBorders>
              <w:top w:val="single" w:sz="4" w:space="0" w:color="BBBBBB"/>
              <w:left w:val="single" w:sz="4" w:space="0" w:color="BBBBBB"/>
              <w:bottom w:val="single" w:sz="4" w:space="0" w:color="BBBBBB"/>
              <w:right w:val="single" w:sz="4" w:space="0" w:color="BBBBBB"/>
            </w:tcBorders>
            <w:shd w:val="clear" w:color="auto" w:fill="EBF3FB"/>
          </w:tcPr>
          <w:p w14:paraId="7349ABF1" w14:textId="77777777" w:rsidR="006052BA" w:rsidRDefault="00000000">
            <w:pPr>
              <w:spacing w:before="60" w:after="60"/>
            </w:pPr>
            <w:r>
              <w:rPr>
                <w:sz w:val="20"/>
              </w:rPr>
              <w:t>Part Six</w:t>
            </w:r>
          </w:p>
        </w:tc>
        <w:tc>
          <w:tcPr>
            <w:tcW w:w="4535" w:type="dxa"/>
            <w:tcBorders>
              <w:top w:val="single" w:sz="4" w:space="0" w:color="BBBBBB"/>
              <w:left w:val="single" w:sz="4" w:space="0" w:color="BBBBBB"/>
              <w:bottom w:val="single" w:sz="4" w:space="0" w:color="BBBBBB"/>
              <w:right w:val="single" w:sz="4" w:space="0" w:color="BBBBBB"/>
            </w:tcBorders>
            <w:shd w:val="clear" w:color="auto" w:fill="EBF3FB"/>
          </w:tcPr>
          <w:p w14:paraId="6C56369B" w14:textId="77777777" w:rsidR="006052BA" w:rsidRDefault="00000000">
            <w:pPr>
              <w:spacing w:before="60" w:after="60"/>
            </w:pPr>
            <w:r>
              <w:rPr>
                <w:sz w:val="20"/>
              </w:rPr>
              <w:t>Race conditions and deadlocks</w:t>
            </w:r>
          </w:p>
        </w:tc>
        <w:tc>
          <w:tcPr>
            <w:tcW w:w="3118" w:type="dxa"/>
            <w:tcBorders>
              <w:top w:val="single" w:sz="4" w:space="0" w:color="BBBBBB"/>
              <w:left w:val="single" w:sz="4" w:space="0" w:color="BBBBBB"/>
              <w:bottom w:val="single" w:sz="4" w:space="0" w:color="BBBBBB"/>
              <w:right w:val="single" w:sz="4" w:space="0" w:color="BBBBBB"/>
            </w:tcBorders>
            <w:shd w:val="clear" w:color="auto" w:fill="EBF3FB"/>
          </w:tcPr>
          <w:p w14:paraId="4279D477" w14:textId="77777777" w:rsidR="006052BA" w:rsidRDefault="00000000">
            <w:pPr>
              <w:spacing w:before="60" w:after="60"/>
            </w:pPr>
            <w:r>
              <w:rPr>
                <w:sz w:val="20"/>
              </w:rPr>
              <w:t>concurrency.sql</w:t>
            </w:r>
          </w:p>
        </w:tc>
      </w:tr>
      <w:tr w:rsidR="006052BA" w14:paraId="104254B5" w14:textId="77777777">
        <w:tc>
          <w:tcPr>
            <w:tcW w:w="1701" w:type="dxa"/>
            <w:tcBorders>
              <w:top w:val="single" w:sz="4" w:space="0" w:color="BBBBBB"/>
              <w:left w:val="single" w:sz="4" w:space="0" w:color="BBBBBB"/>
              <w:bottom w:val="single" w:sz="4" w:space="0" w:color="BBBBBB"/>
              <w:right w:val="single" w:sz="4" w:space="0" w:color="BBBBBB"/>
            </w:tcBorders>
          </w:tcPr>
          <w:p w14:paraId="523DCC81" w14:textId="77777777" w:rsidR="006052BA" w:rsidRDefault="00000000">
            <w:pPr>
              <w:spacing w:before="60" w:after="60"/>
            </w:pPr>
            <w:r>
              <w:rPr>
                <w:sz w:val="20"/>
              </w:rPr>
              <w:t>Part Seven</w:t>
            </w:r>
          </w:p>
        </w:tc>
        <w:tc>
          <w:tcPr>
            <w:tcW w:w="4535" w:type="dxa"/>
            <w:tcBorders>
              <w:top w:val="single" w:sz="4" w:space="0" w:color="BBBBBB"/>
              <w:left w:val="single" w:sz="4" w:space="0" w:color="BBBBBB"/>
              <w:bottom w:val="single" w:sz="4" w:space="0" w:color="BBBBBB"/>
              <w:right w:val="single" w:sz="4" w:space="0" w:color="BBBBBB"/>
            </w:tcBorders>
          </w:tcPr>
          <w:p w14:paraId="27DB4D1A" w14:textId="77777777" w:rsidR="006052BA" w:rsidRDefault="00000000">
            <w:pPr>
              <w:spacing w:before="60" w:after="60"/>
            </w:pPr>
            <w:r>
              <w:rPr>
                <w:sz w:val="20"/>
              </w:rPr>
              <w:t>Foreign key and orphan record issues</w:t>
            </w:r>
          </w:p>
        </w:tc>
        <w:tc>
          <w:tcPr>
            <w:tcW w:w="3118" w:type="dxa"/>
            <w:tcBorders>
              <w:top w:val="single" w:sz="4" w:space="0" w:color="BBBBBB"/>
              <w:left w:val="single" w:sz="4" w:space="0" w:color="BBBBBB"/>
              <w:bottom w:val="single" w:sz="4" w:space="0" w:color="BBBBBB"/>
              <w:right w:val="single" w:sz="4" w:space="0" w:color="BBBBBB"/>
            </w:tcBorders>
          </w:tcPr>
          <w:p w14:paraId="2329A8ED" w14:textId="77777777" w:rsidR="006052BA" w:rsidRDefault="00000000">
            <w:pPr>
              <w:spacing w:before="60" w:after="60"/>
            </w:pPr>
            <w:r>
              <w:rPr>
                <w:sz w:val="20"/>
              </w:rPr>
              <w:t>reconciliation.sql</w:t>
            </w:r>
          </w:p>
        </w:tc>
      </w:tr>
      <w:tr w:rsidR="006052BA" w14:paraId="5F0B98C4" w14:textId="77777777">
        <w:tc>
          <w:tcPr>
            <w:tcW w:w="1701" w:type="dxa"/>
            <w:tcBorders>
              <w:top w:val="single" w:sz="4" w:space="0" w:color="BBBBBB"/>
              <w:left w:val="single" w:sz="4" w:space="0" w:color="BBBBBB"/>
              <w:bottom w:val="single" w:sz="4" w:space="0" w:color="BBBBBB"/>
              <w:right w:val="single" w:sz="4" w:space="0" w:color="BBBBBB"/>
            </w:tcBorders>
            <w:shd w:val="clear" w:color="auto" w:fill="EBF3FB"/>
          </w:tcPr>
          <w:p w14:paraId="5BB8579A" w14:textId="77777777" w:rsidR="006052BA" w:rsidRDefault="00000000">
            <w:pPr>
              <w:spacing w:before="60" w:after="60"/>
            </w:pPr>
            <w:r>
              <w:rPr>
                <w:sz w:val="20"/>
              </w:rPr>
              <w:t>Part Eight</w:t>
            </w:r>
          </w:p>
        </w:tc>
        <w:tc>
          <w:tcPr>
            <w:tcW w:w="4535" w:type="dxa"/>
            <w:tcBorders>
              <w:top w:val="single" w:sz="4" w:space="0" w:color="BBBBBB"/>
              <w:left w:val="single" w:sz="4" w:space="0" w:color="BBBBBB"/>
              <w:bottom w:val="single" w:sz="4" w:space="0" w:color="BBBBBB"/>
              <w:right w:val="single" w:sz="4" w:space="0" w:color="BBBBBB"/>
            </w:tcBorders>
            <w:shd w:val="clear" w:color="auto" w:fill="EBF3FB"/>
          </w:tcPr>
          <w:p w14:paraId="4A05A375" w14:textId="77777777" w:rsidR="006052BA" w:rsidRDefault="00000000">
            <w:pPr>
              <w:spacing w:before="60" w:after="60"/>
            </w:pPr>
            <w:r>
              <w:rPr>
                <w:sz w:val="20"/>
              </w:rPr>
              <w:t>Distributed join and NoSQL layer issues</w:t>
            </w:r>
          </w:p>
        </w:tc>
        <w:tc>
          <w:tcPr>
            <w:tcW w:w="3118" w:type="dxa"/>
            <w:tcBorders>
              <w:top w:val="single" w:sz="4" w:space="0" w:color="BBBBBB"/>
              <w:left w:val="single" w:sz="4" w:space="0" w:color="BBBBBB"/>
              <w:bottom w:val="single" w:sz="4" w:space="0" w:color="BBBBBB"/>
              <w:right w:val="single" w:sz="4" w:space="0" w:color="BBBBBB"/>
            </w:tcBorders>
            <w:shd w:val="clear" w:color="auto" w:fill="EBF3FB"/>
          </w:tcPr>
          <w:p w14:paraId="555CAAA6" w14:textId="77777777" w:rsidR="006052BA" w:rsidRDefault="00000000">
            <w:pPr>
              <w:spacing w:before="60" w:after="60"/>
            </w:pPr>
            <w:r>
              <w:rPr>
                <w:sz w:val="20"/>
              </w:rPr>
              <w:t>Not fully covered yet</w:t>
            </w:r>
          </w:p>
        </w:tc>
      </w:tr>
      <w:tr w:rsidR="006052BA" w14:paraId="4AC8EADC" w14:textId="77777777">
        <w:tc>
          <w:tcPr>
            <w:tcW w:w="1701" w:type="dxa"/>
            <w:tcBorders>
              <w:top w:val="single" w:sz="4" w:space="0" w:color="BBBBBB"/>
              <w:left w:val="single" w:sz="4" w:space="0" w:color="BBBBBB"/>
              <w:bottom w:val="single" w:sz="4" w:space="0" w:color="BBBBBB"/>
              <w:right w:val="single" w:sz="4" w:space="0" w:color="BBBBBB"/>
            </w:tcBorders>
          </w:tcPr>
          <w:p w14:paraId="5AF077B6" w14:textId="77777777" w:rsidR="006052BA" w:rsidRDefault="00000000">
            <w:pPr>
              <w:spacing w:before="60" w:after="60"/>
            </w:pPr>
            <w:r>
              <w:rPr>
                <w:sz w:val="20"/>
              </w:rPr>
              <w:t>Part Nine</w:t>
            </w:r>
          </w:p>
        </w:tc>
        <w:tc>
          <w:tcPr>
            <w:tcW w:w="4535" w:type="dxa"/>
            <w:tcBorders>
              <w:top w:val="single" w:sz="4" w:space="0" w:color="BBBBBB"/>
              <w:left w:val="single" w:sz="4" w:space="0" w:color="BBBBBB"/>
              <w:bottom w:val="single" w:sz="4" w:space="0" w:color="BBBBBB"/>
              <w:right w:val="single" w:sz="4" w:space="0" w:color="BBBBBB"/>
            </w:tcBorders>
          </w:tcPr>
          <w:p w14:paraId="562D5928" w14:textId="77777777" w:rsidR="006052BA" w:rsidRDefault="00000000">
            <w:pPr>
              <w:spacing w:before="60" w:after="60"/>
            </w:pPr>
            <w:r>
              <w:rPr>
                <w:sz w:val="20"/>
              </w:rPr>
              <w:t>OLAP and warehouse reporting</w:t>
            </w:r>
          </w:p>
        </w:tc>
        <w:tc>
          <w:tcPr>
            <w:tcW w:w="3118" w:type="dxa"/>
            <w:tcBorders>
              <w:top w:val="single" w:sz="4" w:space="0" w:color="BBBBBB"/>
              <w:left w:val="single" w:sz="4" w:space="0" w:color="BBBBBB"/>
              <w:bottom w:val="single" w:sz="4" w:space="0" w:color="BBBBBB"/>
              <w:right w:val="single" w:sz="4" w:space="0" w:color="BBBBBB"/>
            </w:tcBorders>
          </w:tcPr>
          <w:p w14:paraId="24C23DC8" w14:textId="77777777" w:rsidR="006052BA" w:rsidRDefault="00000000">
            <w:pPr>
              <w:spacing w:before="60" w:after="60"/>
            </w:pPr>
            <w:r>
              <w:rPr>
                <w:sz w:val="20"/>
              </w:rPr>
              <w:t>olap_queries.sql</w:t>
            </w:r>
          </w:p>
        </w:tc>
      </w:tr>
      <w:tr w:rsidR="006052BA" w14:paraId="637EF676" w14:textId="77777777">
        <w:tc>
          <w:tcPr>
            <w:tcW w:w="1701" w:type="dxa"/>
            <w:tcBorders>
              <w:top w:val="single" w:sz="4" w:space="0" w:color="BBBBBB"/>
              <w:left w:val="single" w:sz="4" w:space="0" w:color="BBBBBB"/>
              <w:bottom w:val="single" w:sz="4" w:space="0" w:color="BBBBBB"/>
              <w:right w:val="single" w:sz="4" w:space="0" w:color="BBBBBB"/>
            </w:tcBorders>
            <w:shd w:val="clear" w:color="auto" w:fill="EBF3FB"/>
          </w:tcPr>
          <w:p w14:paraId="18E6E586" w14:textId="77777777" w:rsidR="006052BA" w:rsidRDefault="00000000">
            <w:pPr>
              <w:spacing w:before="60" w:after="60"/>
            </w:pPr>
            <w:r>
              <w:rPr>
                <w:sz w:val="20"/>
              </w:rPr>
              <w:t>Part Ten</w:t>
            </w:r>
          </w:p>
        </w:tc>
        <w:tc>
          <w:tcPr>
            <w:tcW w:w="4535" w:type="dxa"/>
            <w:tcBorders>
              <w:top w:val="single" w:sz="4" w:space="0" w:color="BBBBBB"/>
              <w:left w:val="single" w:sz="4" w:space="0" w:color="BBBBBB"/>
              <w:bottom w:val="single" w:sz="4" w:space="0" w:color="BBBBBB"/>
              <w:right w:val="single" w:sz="4" w:space="0" w:color="BBBBBB"/>
            </w:tcBorders>
            <w:shd w:val="clear" w:color="auto" w:fill="EBF3FB"/>
          </w:tcPr>
          <w:p w14:paraId="6CFFF2DC" w14:textId="77777777" w:rsidR="006052BA" w:rsidRDefault="00000000">
            <w:pPr>
              <w:spacing w:before="60" w:after="60"/>
            </w:pPr>
            <w:r>
              <w:rPr>
                <w:sz w:val="20"/>
              </w:rPr>
              <w:t>Security and compliance</w:t>
            </w:r>
          </w:p>
        </w:tc>
        <w:tc>
          <w:tcPr>
            <w:tcW w:w="3118" w:type="dxa"/>
            <w:tcBorders>
              <w:top w:val="single" w:sz="4" w:space="0" w:color="BBBBBB"/>
              <w:left w:val="single" w:sz="4" w:space="0" w:color="BBBBBB"/>
              <w:bottom w:val="single" w:sz="4" w:space="0" w:color="BBBBBB"/>
              <w:right w:val="single" w:sz="4" w:space="0" w:color="BBBBBB"/>
            </w:tcBorders>
            <w:shd w:val="clear" w:color="auto" w:fill="EBF3FB"/>
          </w:tcPr>
          <w:p w14:paraId="3214D011" w14:textId="77777777" w:rsidR="006052BA" w:rsidRDefault="00000000">
            <w:pPr>
              <w:spacing w:before="60" w:after="60"/>
            </w:pPr>
            <w:r>
              <w:rPr>
                <w:sz w:val="20"/>
              </w:rPr>
              <w:t>security.sql</w:t>
            </w:r>
          </w:p>
        </w:tc>
      </w:tr>
    </w:tbl>
    <w:p w14:paraId="18C2085A" w14:textId="77777777" w:rsidR="006052BA" w:rsidRDefault="006052BA"/>
    <w:p w14:paraId="66C7255B" w14:textId="77777777" w:rsidR="006052BA" w:rsidRDefault="00000000">
      <w:pPr>
        <w:pStyle w:val="Heading1"/>
      </w:pPr>
      <w:r>
        <w:t>5. What Is Solved</w:t>
      </w:r>
    </w:p>
    <w:p w14:paraId="00F10AE6" w14:textId="77777777" w:rsidR="006052BA" w:rsidRDefault="00000000">
      <w:pPr>
        <w:spacing w:after="120"/>
      </w:pPr>
      <w:r>
        <w:t>The six SQL files together cover the core database-side fixes identified in the case study:</w:t>
      </w:r>
    </w:p>
    <w:p w14:paraId="3A3BD02E" w14:textId="77777777" w:rsidR="006052BA" w:rsidRDefault="00000000">
      <w:pPr>
        <w:pStyle w:val="ListBullet"/>
        <w:spacing w:after="60"/>
      </w:pPr>
      <w:r>
        <w:rPr>
          <w:b/>
        </w:rPr>
        <w:t xml:space="preserve">security.sql: </w:t>
      </w:r>
      <w:r>
        <w:t>Access control, encryption readiness, audit logging, TLS enforcement, and backup recovery.</w:t>
      </w:r>
    </w:p>
    <w:p w14:paraId="23AE3826" w14:textId="77777777" w:rsidR="006052BA" w:rsidRDefault="00000000">
      <w:pPr>
        <w:pStyle w:val="ListBullet"/>
        <w:spacing w:after="60"/>
      </w:pPr>
      <w:r>
        <w:rPr>
          <w:b/>
        </w:rPr>
        <w:t xml:space="preserve">tuning.sql: </w:t>
      </w:r>
      <w:r>
        <w:t>PostgreSQL memory settings, planner statistics, autovacuum, and checkpoint configuration.</w:t>
      </w:r>
    </w:p>
    <w:p w14:paraId="6DACDB06" w14:textId="77777777" w:rsidR="006052BA" w:rsidRDefault="00000000">
      <w:pPr>
        <w:pStyle w:val="ListBullet"/>
        <w:spacing w:after="60"/>
      </w:pPr>
      <w:r>
        <w:rPr>
          <w:b/>
        </w:rPr>
        <w:t xml:space="preserve">schema_migration.sql: </w:t>
      </w:r>
      <w:r>
        <w:t>Product table decomposition, customer profile restructuring, and safe handling of malformed data.</w:t>
      </w:r>
    </w:p>
    <w:p w14:paraId="1B5B717D" w14:textId="77777777" w:rsidR="006052BA" w:rsidRDefault="00000000">
      <w:pPr>
        <w:pStyle w:val="ListBullet"/>
        <w:spacing w:after="60"/>
      </w:pPr>
      <w:r>
        <w:rPr>
          <w:b/>
        </w:rPr>
        <w:t xml:space="preserve">concurrency.sql: </w:t>
      </w:r>
      <w:r>
        <w:t>Row-level locking, atomic transactions for order and inventory, and lost-update prevention.</w:t>
      </w:r>
    </w:p>
    <w:p w14:paraId="1E1D8913" w14:textId="77777777" w:rsidR="006052BA" w:rsidRDefault="00000000">
      <w:pPr>
        <w:pStyle w:val="ListBullet"/>
        <w:spacing w:after="60"/>
      </w:pPr>
      <w:r>
        <w:rPr>
          <w:b/>
        </w:rPr>
        <w:t xml:space="preserve">reconciliation.sql: </w:t>
      </w:r>
      <w:r>
        <w:t>Orphan record quarantine, debt preservation, and safe re-introduction of foreign key constraints.</w:t>
      </w:r>
    </w:p>
    <w:p w14:paraId="6E206E5F" w14:textId="77777777" w:rsidR="006052BA" w:rsidRDefault="00000000">
      <w:pPr>
        <w:pStyle w:val="ListBullet"/>
        <w:spacing w:after="60"/>
      </w:pPr>
      <w:r>
        <w:rPr>
          <w:b/>
        </w:rPr>
        <w:t xml:space="preserve">olap_queries.sql: </w:t>
      </w:r>
      <w:r>
        <w:t>Revenue accuracy, tax timing, geographic attribution, default rates, turnover, and basket size.</w:t>
      </w:r>
    </w:p>
    <w:p w14:paraId="6D3735DC" w14:textId="77777777" w:rsidR="006052BA" w:rsidRDefault="00000000">
      <w:pPr>
        <w:pStyle w:val="Heading1"/>
      </w:pPr>
      <w:r>
        <w:t>6. What Is Not Fully Solved Yet</w:t>
      </w:r>
    </w:p>
    <w:p w14:paraId="7A1A22CB" w14:textId="77777777" w:rsidR="006052BA" w:rsidRDefault="00000000">
      <w:pPr>
        <w:spacing w:after="120"/>
      </w:pPr>
      <w:r>
        <w:t>The SQL files do not cover every issue identified in the case study. Several items require infrastructure changes, application-layer work, or tooling outside the scope of SQL scripts:</w:t>
      </w:r>
    </w:p>
    <w:p w14:paraId="57B5B8E9" w14:textId="77777777" w:rsidR="006052BA" w:rsidRDefault="00000000">
      <w:pPr>
        <w:pStyle w:val="ListBullet"/>
        <w:spacing w:after="40"/>
      </w:pPr>
      <w:r>
        <w:t>PgBouncer deployment for connection pooling</w:t>
      </w:r>
    </w:p>
    <w:p w14:paraId="7183A386" w14:textId="77777777" w:rsidR="006052BA" w:rsidRDefault="00000000">
      <w:pPr>
        <w:pStyle w:val="ListBullet"/>
        <w:spacing w:after="40"/>
      </w:pPr>
      <w:r>
        <w:t>Multi-data-centre replication and failover recovery</w:t>
      </w:r>
    </w:p>
    <w:p w14:paraId="6225468F" w14:textId="77777777" w:rsidR="006052BA" w:rsidRDefault="00000000">
      <w:pPr>
        <w:pStyle w:val="ListBullet"/>
        <w:spacing w:after="40"/>
      </w:pPr>
      <w:r>
        <w:t>Node.js middleware redesign and query optimisation</w:t>
      </w:r>
    </w:p>
    <w:p w14:paraId="4B10D7F5" w14:textId="77777777" w:rsidR="006052BA" w:rsidRDefault="00000000">
      <w:pPr>
        <w:pStyle w:val="ListBullet"/>
        <w:spacing w:after="40"/>
      </w:pPr>
      <w:r>
        <w:t>Redis cache invalidation and resynchronisation</w:t>
      </w:r>
    </w:p>
    <w:p w14:paraId="60399D15" w14:textId="77777777" w:rsidR="006052BA" w:rsidRDefault="00000000">
      <w:pPr>
        <w:pStyle w:val="ListBullet"/>
        <w:spacing w:after="40"/>
      </w:pPr>
      <w:r>
        <w:t>Elasticsearch index resynchronisation</w:t>
      </w:r>
    </w:p>
    <w:p w14:paraId="1D4C089F" w14:textId="77777777" w:rsidR="006052BA" w:rsidRDefault="00000000">
      <w:pPr>
        <w:pStyle w:val="ListBullet"/>
        <w:spacing w:after="40"/>
      </w:pPr>
      <w:r>
        <w:t>Monitoring stack setup and alerting</w:t>
      </w:r>
    </w:p>
    <w:p w14:paraId="08F37503" w14:textId="77777777" w:rsidR="006052BA" w:rsidRDefault="00000000">
      <w:pPr>
        <w:pStyle w:val="ListBullet"/>
        <w:spacing w:after="40"/>
      </w:pPr>
      <w:r>
        <w:t>Benchmark and load test scripts</w:t>
      </w:r>
    </w:p>
    <w:p w14:paraId="7EDC9EDF" w14:textId="77777777" w:rsidR="006052BA" w:rsidRDefault="00000000">
      <w:pPr>
        <w:pStyle w:val="ListBullet"/>
        <w:spacing w:after="40"/>
      </w:pPr>
      <w:r>
        <w:t>Full automated test runner and CI integration</w:t>
      </w:r>
    </w:p>
    <w:p w14:paraId="70C7C659" w14:textId="77777777" w:rsidR="006052BA" w:rsidRDefault="00000000">
      <w:pPr>
        <w:pStyle w:val="Heading1"/>
      </w:pPr>
      <w:r>
        <w:t>7. Quick Reference Summary</w:t>
      </w:r>
    </w:p>
    <w:p w14:paraId="3B112F68" w14:textId="77777777" w:rsidR="006052BA" w:rsidRDefault="00000000">
      <w:pPr>
        <w:spacing w:after="160"/>
      </w:pPr>
      <w:r>
        <w:t>The table below gives a one-line description of each SQL file's purpose:</w:t>
      </w:r>
    </w:p>
    <w:tbl>
      <w:tblPr>
        <w:tblStyle w:val="TableGrid"/>
        <w:tblW w:w="0" w:type="auto"/>
        <w:tblLook w:val="04A0" w:firstRow="1" w:lastRow="0" w:firstColumn="1" w:lastColumn="0" w:noHBand="0" w:noVBand="1"/>
      </w:tblPr>
      <w:tblGrid>
        <w:gridCol w:w="2805"/>
        <w:gridCol w:w="6195"/>
      </w:tblGrid>
      <w:tr w:rsidR="006052BA" w14:paraId="302FAAFD" w14:textId="77777777">
        <w:tc>
          <w:tcPr>
            <w:tcW w:w="2835" w:type="dxa"/>
            <w:tcBorders>
              <w:top w:val="single" w:sz="4" w:space="0" w:color="BBBBBB"/>
              <w:left w:val="single" w:sz="4" w:space="0" w:color="BBBBBB"/>
              <w:bottom w:val="single" w:sz="4" w:space="0" w:color="BBBBBB"/>
              <w:right w:val="single" w:sz="4" w:space="0" w:color="BBBBBB"/>
            </w:tcBorders>
            <w:shd w:val="clear" w:color="auto" w:fill="2E75B6"/>
          </w:tcPr>
          <w:p w14:paraId="1D5471FD" w14:textId="77777777" w:rsidR="006052BA" w:rsidRDefault="00000000">
            <w:pPr>
              <w:spacing w:before="80" w:after="80"/>
            </w:pPr>
            <w:r>
              <w:rPr>
                <w:b/>
                <w:color w:val="FFFFFF"/>
              </w:rPr>
              <w:t>SQL File</w:t>
            </w:r>
          </w:p>
        </w:tc>
        <w:tc>
          <w:tcPr>
            <w:tcW w:w="6520" w:type="dxa"/>
            <w:tcBorders>
              <w:top w:val="single" w:sz="4" w:space="0" w:color="BBBBBB"/>
              <w:left w:val="single" w:sz="4" w:space="0" w:color="BBBBBB"/>
              <w:bottom w:val="single" w:sz="4" w:space="0" w:color="BBBBBB"/>
              <w:right w:val="single" w:sz="4" w:space="0" w:color="BBBBBB"/>
            </w:tcBorders>
            <w:shd w:val="clear" w:color="auto" w:fill="2E75B6"/>
          </w:tcPr>
          <w:p w14:paraId="4BA5BC25" w14:textId="77777777" w:rsidR="006052BA" w:rsidRDefault="00000000">
            <w:pPr>
              <w:spacing w:before="80" w:after="80"/>
            </w:pPr>
            <w:r>
              <w:rPr>
                <w:b/>
                <w:color w:val="FFFFFF"/>
              </w:rPr>
              <w:t>One-Line Purpose</w:t>
            </w:r>
          </w:p>
        </w:tc>
      </w:tr>
      <w:tr w:rsidR="006052BA" w14:paraId="72E9A0F9" w14:textId="77777777">
        <w:tc>
          <w:tcPr>
            <w:tcW w:w="2835" w:type="dxa"/>
            <w:tcBorders>
              <w:top w:val="single" w:sz="4" w:space="0" w:color="BBBBBB"/>
              <w:left w:val="single" w:sz="4" w:space="0" w:color="BBBBBB"/>
              <w:bottom w:val="single" w:sz="4" w:space="0" w:color="BBBBBB"/>
              <w:right w:val="single" w:sz="4" w:space="0" w:color="BBBBBB"/>
            </w:tcBorders>
          </w:tcPr>
          <w:p w14:paraId="2FBF73B1" w14:textId="77777777" w:rsidR="006052BA" w:rsidRDefault="00000000">
            <w:pPr>
              <w:spacing w:before="80" w:after="80"/>
            </w:pPr>
            <w:r>
              <w:t>security.sql</w:t>
            </w:r>
          </w:p>
        </w:tc>
        <w:tc>
          <w:tcPr>
            <w:tcW w:w="6520" w:type="dxa"/>
            <w:tcBorders>
              <w:top w:val="single" w:sz="4" w:space="0" w:color="BBBBBB"/>
              <w:left w:val="single" w:sz="4" w:space="0" w:color="BBBBBB"/>
              <w:bottom w:val="single" w:sz="4" w:space="0" w:color="BBBBBB"/>
              <w:right w:val="single" w:sz="4" w:space="0" w:color="BBBBBB"/>
            </w:tcBorders>
          </w:tcPr>
          <w:p w14:paraId="5EC62796" w14:textId="77777777" w:rsidR="006052BA" w:rsidRDefault="00000000">
            <w:pPr>
              <w:spacing w:before="80" w:after="80"/>
            </w:pPr>
            <w:r>
              <w:t>Makes database access smaller, safer, and auditable.</w:t>
            </w:r>
          </w:p>
        </w:tc>
      </w:tr>
      <w:tr w:rsidR="006052BA" w14:paraId="3821AB2D" w14:textId="77777777">
        <w:tc>
          <w:tcPr>
            <w:tcW w:w="2835" w:type="dxa"/>
            <w:tcBorders>
              <w:top w:val="single" w:sz="4" w:space="0" w:color="BBBBBB"/>
              <w:left w:val="single" w:sz="4" w:space="0" w:color="BBBBBB"/>
              <w:bottom w:val="single" w:sz="4" w:space="0" w:color="BBBBBB"/>
              <w:right w:val="single" w:sz="4" w:space="0" w:color="BBBBBB"/>
            </w:tcBorders>
            <w:shd w:val="clear" w:color="auto" w:fill="EBF3FB"/>
          </w:tcPr>
          <w:p w14:paraId="07D1577D" w14:textId="77777777" w:rsidR="006052BA" w:rsidRDefault="00000000">
            <w:pPr>
              <w:spacing w:before="80" w:after="80"/>
            </w:pPr>
            <w:r>
              <w:t>tuning.sql</w:t>
            </w:r>
          </w:p>
        </w:tc>
        <w:tc>
          <w:tcPr>
            <w:tcW w:w="6520" w:type="dxa"/>
            <w:tcBorders>
              <w:top w:val="single" w:sz="4" w:space="0" w:color="BBBBBB"/>
              <w:left w:val="single" w:sz="4" w:space="0" w:color="BBBBBB"/>
              <w:bottom w:val="single" w:sz="4" w:space="0" w:color="BBBBBB"/>
              <w:right w:val="single" w:sz="4" w:space="0" w:color="BBBBBB"/>
            </w:tcBorders>
            <w:shd w:val="clear" w:color="auto" w:fill="EBF3FB"/>
          </w:tcPr>
          <w:p w14:paraId="05160099" w14:textId="77777777" w:rsidR="006052BA" w:rsidRDefault="00000000">
            <w:pPr>
              <w:spacing w:before="80" w:after="80"/>
            </w:pPr>
            <w:r>
              <w:t>Configures PostgreSQL to use hardware resources properly.</w:t>
            </w:r>
          </w:p>
        </w:tc>
      </w:tr>
      <w:tr w:rsidR="006052BA" w14:paraId="65446444" w14:textId="77777777">
        <w:tc>
          <w:tcPr>
            <w:tcW w:w="2835" w:type="dxa"/>
            <w:tcBorders>
              <w:top w:val="single" w:sz="4" w:space="0" w:color="BBBBBB"/>
              <w:left w:val="single" w:sz="4" w:space="0" w:color="BBBBBB"/>
              <w:bottom w:val="single" w:sz="4" w:space="0" w:color="BBBBBB"/>
              <w:right w:val="single" w:sz="4" w:space="0" w:color="BBBBBB"/>
            </w:tcBorders>
          </w:tcPr>
          <w:p w14:paraId="7EB09CA9" w14:textId="77777777" w:rsidR="006052BA" w:rsidRDefault="00000000">
            <w:pPr>
              <w:spacing w:before="80" w:after="80"/>
            </w:pPr>
            <w:r>
              <w:t>schema_migration.sql</w:t>
            </w:r>
          </w:p>
        </w:tc>
        <w:tc>
          <w:tcPr>
            <w:tcW w:w="6520" w:type="dxa"/>
            <w:tcBorders>
              <w:top w:val="single" w:sz="4" w:space="0" w:color="BBBBBB"/>
              <w:left w:val="single" w:sz="4" w:space="0" w:color="BBBBBB"/>
              <w:bottom w:val="single" w:sz="4" w:space="0" w:color="BBBBBB"/>
              <w:right w:val="single" w:sz="4" w:space="0" w:color="BBBBBB"/>
            </w:tcBorders>
          </w:tcPr>
          <w:p w14:paraId="5876EBE4" w14:textId="77777777" w:rsidR="006052BA" w:rsidRDefault="00000000">
            <w:pPr>
              <w:spacing w:before="80" w:after="80"/>
            </w:pPr>
            <w:r>
              <w:t>Breaks one large mixed table into clean, focused tables.</w:t>
            </w:r>
          </w:p>
        </w:tc>
      </w:tr>
      <w:tr w:rsidR="006052BA" w14:paraId="02B44791" w14:textId="77777777">
        <w:tc>
          <w:tcPr>
            <w:tcW w:w="2835" w:type="dxa"/>
            <w:tcBorders>
              <w:top w:val="single" w:sz="4" w:space="0" w:color="BBBBBB"/>
              <w:left w:val="single" w:sz="4" w:space="0" w:color="BBBBBB"/>
              <w:bottom w:val="single" w:sz="4" w:space="0" w:color="BBBBBB"/>
              <w:right w:val="single" w:sz="4" w:space="0" w:color="BBBBBB"/>
            </w:tcBorders>
            <w:shd w:val="clear" w:color="auto" w:fill="EBF3FB"/>
          </w:tcPr>
          <w:p w14:paraId="0BC767C3" w14:textId="77777777" w:rsidR="006052BA" w:rsidRDefault="00000000">
            <w:pPr>
              <w:spacing w:before="80" w:after="80"/>
            </w:pPr>
            <w:r>
              <w:lastRenderedPageBreak/>
              <w:t>concurrency.sql</w:t>
            </w:r>
          </w:p>
        </w:tc>
        <w:tc>
          <w:tcPr>
            <w:tcW w:w="6520" w:type="dxa"/>
            <w:tcBorders>
              <w:top w:val="single" w:sz="4" w:space="0" w:color="BBBBBB"/>
              <w:left w:val="single" w:sz="4" w:space="0" w:color="BBBBBB"/>
              <w:bottom w:val="single" w:sz="4" w:space="0" w:color="BBBBBB"/>
              <w:right w:val="single" w:sz="4" w:space="0" w:color="BBBBBB"/>
            </w:tcBorders>
            <w:shd w:val="clear" w:color="auto" w:fill="EBF3FB"/>
          </w:tcPr>
          <w:p w14:paraId="7BE45C42" w14:textId="77777777" w:rsidR="006052BA" w:rsidRDefault="00000000">
            <w:pPr>
              <w:spacing w:before="80" w:after="80"/>
            </w:pPr>
            <w:r>
              <w:t>Prevents two users from corrupting the same data at once.</w:t>
            </w:r>
          </w:p>
        </w:tc>
      </w:tr>
      <w:tr w:rsidR="006052BA" w14:paraId="04F8CC30" w14:textId="77777777">
        <w:tc>
          <w:tcPr>
            <w:tcW w:w="2835" w:type="dxa"/>
            <w:tcBorders>
              <w:top w:val="single" w:sz="4" w:space="0" w:color="BBBBBB"/>
              <w:left w:val="single" w:sz="4" w:space="0" w:color="BBBBBB"/>
              <w:bottom w:val="single" w:sz="4" w:space="0" w:color="BBBBBB"/>
              <w:right w:val="single" w:sz="4" w:space="0" w:color="BBBBBB"/>
            </w:tcBorders>
          </w:tcPr>
          <w:p w14:paraId="592A3541" w14:textId="77777777" w:rsidR="006052BA" w:rsidRDefault="00000000">
            <w:pPr>
              <w:spacing w:before="80" w:after="80"/>
            </w:pPr>
            <w:r>
              <w:t>reconciliation.sql</w:t>
            </w:r>
          </w:p>
        </w:tc>
        <w:tc>
          <w:tcPr>
            <w:tcW w:w="6520" w:type="dxa"/>
            <w:tcBorders>
              <w:top w:val="single" w:sz="4" w:space="0" w:color="BBBBBB"/>
              <w:left w:val="single" w:sz="4" w:space="0" w:color="BBBBBB"/>
              <w:bottom w:val="single" w:sz="4" w:space="0" w:color="BBBBBB"/>
              <w:right w:val="single" w:sz="4" w:space="0" w:color="BBBBBB"/>
            </w:tcBorders>
          </w:tcPr>
          <w:p w14:paraId="4349E591" w14:textId="77777777" w:rsidR="006052BA" w:rsidRDefault="00000000">
            <w:pPr>
              <w:spacing w:before="80" w:after="80"/>
            </w:pPr>
            <w:r>
              <w:t>Removes broken reference rows and restores data integrity rules.</w:t>
            </w:r>
          </w:p>
        </w:tc>
      </w:tr>
      <w:tr w:rsidR="006052BA" w14:paraId="6AAC1939" w14:textId="77777777">
        <w:tc>
          <w:tcPr>
            <w:tcW w:w="2835" w:type="dxa"/>
            <w:tcBorders>
              <w:top w:val="single" w:sz="4" w:space="0" w:color="BBBBBB"/>
              <w:left w:val="single" w:sz="4" w:space="0" w:color="BBBBBB"/>
              <w:bottom w:val="single" w:sz="4" w:space="0" w:color="BBBBBB"/>
              <w:right w:val="single" w:sz="4" w:space="0" w:color="BBBBBB"/>
            </w:tcBorders>
            <w:shd w:val="clear" w:color="auto" w:fill="EBF3FB"/>
          </w:tcPr>
          <w:p w14:paraId="57BDFF1D" w14:textId="77777777" w:rsidR="006052BA" w:rsidRDefault="00000000">
            <w:pPr>
              <w:spacing w:before="80" w:after="80"/>
            </w:pPr>
            <w:r>
              <w:t>olap_queries.sql</w:t>
            </w:r>
          </w:p>
        </w:tc>
        <w:tc>
          <w:tcPr>
            <w:tcW w:w="6520" w:type="dxa"/>
            <w:tcBorders>
              <w:top w:val="single" w:sz="4" w:space="0" w:color="BBBBBB"/>
              <w:left w:val="single" w:sz="4" w:space="0" w:color="BBBBBB"/>
              <w:bottom w:val="single" w:sz="4" w:space="0" w:color="BBBBBB"/>
              <w:right w:val="single" w:sz="4" w:space="0" w:color="BBBBBB"/>
            </w:tcBorders>
            <w:shd w:val="clear" w:color="auto" w:fill="EBF3FB"/>
          </w:tcPr>
          <w:p w14:paraId="2EF0E5C9" w14:textId="77777777" w:rsidR="006052BA" w:rsidRDefault="00000000">
            <w:pPr>
              <w:spacing w:before="80" w:after="80"/>
            </w:pPr>
            <w:r>
              <w:t>Fixes business metrics so reports reflect actual results.</w:t>
            </w:r>
          </w:p>
        </w:tc>
      </w:tr>
    </w:tbl>
    <w:p w14:paraId="67508B4D" w14:textId="77777777" w:rsidR="006052BA" w:rsidRDefault="006052BA"/>
    <w:p w14:paraId="17FD02E2" w14:textId="77777777" w:rsidR="006052BA" w:rsidRDefault="00000000">
      <w:pPr>
        <w:pStyle w:val="Heading1"/>
      </w:pPr>
      <w:r>
        <w:t>8. Final Conclusion</w:t>
      </w:r>
    </w:p>
    <w:p w14:paraId="60645FE2" w14:textId="77777777" w:rsidR="006052BA" w:rsidRDefault="00000000">
      <w:pPr>
        <w:spacing w:after="120"/>
      </w:pPr>
      <w:r>
        <w:t>The NovaMart Database Remediation project now has a clean, structured SQL solution. Every major database-side failure from the case study has been addressed in its own dedicated file, with a single clear responsibility per file.</w:t>
      </w:r>
    </w:p>
    <w:p w14:paraId="05BF3B65" w14:textId="77777777" w:rsidR="006052BA" w:rsidRDefault="00000000">
      <w:pPr>
        <w:spacing w:after="120"/>
      </w:pPr>
      <w:r>
        <w:t>This approach makes the project straightforward to explain, straightforward to test, and straightforward to submit. Each SQL file can be reviewed, executed, or extended independently without affecting the others.</w:t>
      </w:r>
    </w:p>
    <w:p w14:paraId="4BF33C71" w14:textId="0F3B8387" w:rsidR="006052BA" w:rsidRDefault="00000000" w:rsidP="00DB0514">
      <w:r>
        <w:t>Together, the six files bring the NovaMart database from a state of security vulnerabilities, performance bottlenecks, structural inconsistencies, and data integrity failures to a significantly more robust, well-tuned, and auditable system.</w:t>
      </w:r>
    </w:p>
    <w:p w14:paraId="4D628B86" w14:textId="371B1BC3" w:rsidR="006052BA" w:rsidRDefault="006052BA" w:rsidP="00DB0514"/>
    <w:sectPr w:rsidR="006052BA" w:rsidSect="00DB0514">
      <w:pgSz w:w="12240" w:h="15840"/>
      <w:pgMar w:top="1440" w:right="1728" w:bottom="1440" w:left="172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782506">
    <w:abstractNumId w:val="8"/>
  </w:num>
  <w:num w:numId="2" w16cid:durableId="1034043821">
    <w:abstractNumId w:val="6"/>
  </w:num>
  <w:num w:numId="3" w16cid:durableId="1862737821">
    <w:abstractNumId w:val="5"/>
  </w:num>
  <w:num w:numId="4" w16cid:durableId="1637098333">
    <w:abstractNumId w:val="4"/>
  </w:num>
  <w:num w:numId="5" w16cid:durableId="1150249050">
    <w:abstractNumId w:val="7"/>
  </w:num>
  <w:num w:numId="6" w16cid:durableId="1111441102">
    <w:abstractNumId w:val="3"/>
  </w:num>
  <w:num w:numId="7" w16cid:durableId="870336384">
    <w:abstractNumId w:val="2"/>
  </w:num>
  <w:num w:numId="8" w16cid:durableId="1547835043">
    <w:abstractNumId w:val="1"/>
  </w:num>
  <w:num w:numId="9" w16cid:durableId="100423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2BA"/>
    <w:rsid w:val="006056D9"/>
    <w:rsid w:val="00AA1D8D"/>
    <w:rsid w:val="00B47730"/>
    <w:rsid w:val="00CB0664"/>
    <w:rsid w:val="00DB0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E6FB7"/>
  <w14:defaultImageDpi w14:val="300"/>
  <w15:docId w15:val="{78253219-F8AB-D04E-8177-6391F385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B0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Members Syed Muhammad Askari (232386) Qasim Tariq (231613) M. Abdul wasay sohail (231637)</dc:title>
  <dc:subject/>
  <dc:creator/>
  <cp:keywords/>
  <dc:description>generated by python-docx</dc:description>
  <cp:lastModifiedBy>Office</cp:lastModifiedBy>
  <cp:revision>2</cp:revision>
  <dcterms:created xsi:type="dcterms:W3CDTF">2013-12-23T23:15:00Z</dcterms:created>
  <dcterms:modified xsi:type="dcterms:W3CDTF">2026-06-01T07:39:00Z</dcterms:modified>
  <cp:category/>
</cp:coreProperties>
</file>