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4"/>
          <w:szCs w:val="24"/>
          <w:highlight w:val="white"/>
          <w:rtl w:val="0"/>
        </w:rPr>
        <w:t xml:space="preserve">Retrospective</w:t>
      </w:r>
    </w:p>
    <w:p w:rsidR="00000000" w:rsidDel="00000000" w:rsidP="00000000" w:rsidRDefault="00000000" w:rsidRPr="00000000" w14:paraId="00000002">
      <w:pPr>
        <w:spacing w:line="342.85714285714283" w:lineRule="auto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Tabellen viser resultatet af projektets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retrospective,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  <w:rtl w:val="0"/>
        </w:rPr>
        <w:t xml:space="preserve"> hvor teamet har evalueret arbejdsprocessen, identificeret styrker og svagheder samt fastlagt konkrete forbedringstiltag til næste sprint. Fokus har været på procesforbedring, kvalitetssikring og teknisk vedligeholdelse.</w:t>
      </w:r>
    </w:p>
    <w:p w:rsidR="00000000" w:rsidDel="00000000" w:rsidP="00000000" w:rsidRDefault="00000000" w:rsidRPr="00000000" w14:paraId="00000003">
      <w:pPr>
        <w:spacing w:line="342.85714285714283" w:lineRule="auto"/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</w:rPr>
        <w:drawing>
          <wp:inline distB="114300" distT="114300" distL="114300" distR="114300">
            <wp:extent cx="5843588" cy="28312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2831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