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CoverKicker"/>
        <w:jc w:val="right"/>
      </w:pPr>
      <w:r>
        <w:t xml:space="preserve">ASL5</w:t>
      </w:r>
    </w:p>
    <w:p>
      <w:pPr>
        <w:pStyle w:val="Title"/>
        <w:spacing w:before="1800" w:after="120"/>
      </w:pPr>
      <w:r>
        <w:t xml:space="preserve">TOPSENTINEL MAIL GALLERY</w:t>
      </w:r>
    </w:p>
    <w:p>
      <w:pPr>
        <w:pStyle w:val="Subtitle"/>
        <w:spacing w:after="80"/>
      </w:pPr>
      <w:r>
        <w:t xml:space="preserve">Documentazione tecnica</w:t>
      </w:r>
    </w:p>
    <w:p>
      <w:pPr>
        <w:pStyle w:val="Subtitle2"/>
        <w:spacing w:after="600"/>
      </w:pPr>
      <w:r>
        <w:t xml:space="preserve">Sistema di monitoraggio endpoint Gallery e invio alert mail</w:t>
      </w:r>
    </w:p>
    <w:p>
      <w:pPr>
        <w:pStyle w:val="CoverMeta"/>
        <w:spacing w:after="80"/>
      </w:pPr>
      <w:r>
        <w:t xml:space="preserve">Versione: 1.0</w:t>
      </w:r>
    </w:p>
    <w:p>
      <w:pPr>
        <w:pStyle w:val="CoverMeta"/>
        <w:spacing w:after="80"/>
      </w:pPr>
      <w:r>
        <w:t xml:space="preserve">Data: 08/05/2026</w:t>
      </w:r>
    </w:p>
    <w:p>
      <w:pPr>
        <w:pStyle w:val="CoverMeta"/>
        <w:spacing w:after="720"/>
      </w:pPr>
      <w:r>
        <w:t xml:space="preserve">Progetto: TopSentinelMailGallery</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1700"/>
        <w:gridCol w:w="2200"/>
        <w:gridCol w:w="1200"/>
        <w:gridCol w:w="1500"/>
        <w:gridCol w:w="3300"/>
      </w:tblGrid>
      <w:tr>
        <w:tc>
          <w:tcPr>
            <w:tcW w:w="1700" w:type="dxa"/>
            <w:shd w:fill="D9EAF7"/>
          </w:tcPr>
          <w:p>
            <w:pPr>
              <w:pStyle w:val="TableHeader"/>
              <w:spacing w:after="0"/>
            </w:pPr>
            <w:r>
              <w:t xml:space="preserve">Autore</w:t>
            </w:r>
          </w:p>
        </w:tc>
        <w:tc>
          <w:tcPr>
            <w:tcW w:w="2200" w:type="dxa"/>
            <w:shd w:fill="D9EAF7"/>
          </w:tcPr>
          <w:p>
            <w:pPr>
              <w:pStyle w:val="TableHeader"/>
              <w:spacing w:after="0"/>
            </w:pPr>
            <w:r>
              <w:t xml:space="preserve">Revisione</w:t>
            </w:r>
          </w:p>
        </w:tc>
        <w:tc>
          <w:tcPr>
            <w:tcW w:w="1200" w:type="dxa"/>
            <w:shd w:fill="D9EAF7"/>
          </w:tcPr>
          <w:p>
            <w:pPr>
              <w:pStyle w:val="TableHeader"/>
              <w:spacing w:after="0"/>
            </w:pPr>
            <w:r>
              <w:t xml:space="preserve">Versione</w:t>
            </w:r>
          </w:p>
        </w:tc>
        <w:tc>
          <w:tcPr>
            <w:tcW w:w="1500" w:type="dxa"/>
            <w:shd w:fill="D9EAF7"/>
          </w:tcPr>
          <w:p>
            <w:pPr>
              <w:pStyle w:val="TableHeader"/>
              <w:spacing w:after="0"/>
            </w:pPr>
            <w:r>
              <w:t xml:space="preserve">Data</w:t>
            </w:r>
          </w:p>
        </w:tc>
        <w:tc>
          <w:tcPr>
            <w:tcW w:w="3300" w:type="dxa"/>
            <w:shd w:fill="D9EAF7"/>
          </w:tcPr>
          <w:p>
            <w:pPr>
              <w:pStyle w:val="TableHeader"/>
              <w:spacing w:after="0"/>
            </w:pPr>
            <w:r>
              <w:t xml:space="preserve">Modifica</w:t>
            </w:r>
          </w:p>
        </w:tc>
      </w:tr>
      <w:tr>
        <w:tc>
          <w:tcPr>
            <w:tcW w:w="1700" w:type="dxa"/>
          </w:tcPr>
          <w:p>
            <w:pPr>
              <w:pStyle w:val="TableText"/>
              <w:spacing w:after="0"/>
            </w:pPr>
            <w:r>
              <w:t xml:space="preserve">m.manzotti</w:t>
            </w:r>
          </w:p>
        </w:tc>
        <w:tc>
          <w:tcPr>
            <w:tcW w:w="2200" w:type="dxa"/>
          </w:tcPr>
          <w:p>
            <w:pPr>
              <w:pStyle w:val="TableText"/>
              <w:spacing w:after="0"/>
            </w:pPr>
            <w:r>
              <w:t xml:space="preserve">Prima emissione</w:t>
            </w:r>
          </w:p>
        </w:tc>
        <w:tc>
          <w:tcPr>
            <w:tcW w:w="1200" w:type="dxa"/>
          </w:tcPr>
          <w:p>
            <w:pPr>
              <w:pStyle w:val="TableText"/>
              <w:spacing w:after="0"/>
            </w:pPr>
            <w:r>
              <w:t xml:space="preserve">1.0</w:t>
            </w:r>
          </w:p>
        </w:tc>
        <w:tc>
          <w:tcPr>
            <w:tcW w:w="1500" w:type="dxa"/>
          </w:tcPr>
          <w:p>
            <w:pPr>
              <w:pStyle w:val="TableText"/>
              <w:spacing w:after="0"/>
            </w:pPr>
            <w:r>
              <w:t xml:space="preserve">08/05/2026</w:t>
            </w:r>
          </w:p>
        </w:tc>
        <w:tc>
          <w:tcPr>
            <w:tcW w:w="3300" w:type="dxa"/>
          </w:tcPr>
          <w:p>
            <w:pPr>
              <w:pStyle w:val="TableText"/>
              <w:spacing w:after="0"/>
            </w:pPr>
            <w:r>
              <w:t xml:space="preserve">Stesura documentazione tecnica del progetto TopSentinelMailGallery</w:t>
            </w:r>
          </w:p>
        </w:tc>
      </w:tr>
    </w:tbl>
    <w:p>
      <w:r>
        <w:br w:type="page"/>
      </w:r>
    </w:p>
    <w:p>
      <w:pPr>
        <w:pStyle w:val="Heading1"/>
        <w:spacing w:after="120"/>
      </w:pPr>
      <w:r>
        <w:t xml:space="preserve">Indice</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1400"/>
        <w:gridCol w:w="7800"/>
      </w:tblGrid>
      <w:tr>
        <w:tc>
          <w:tcPr>
            <w:tcW w:w="1400" w:type="dxa"/>
            <w:shd w:fill="D9EAF7"/>
          </w:tcPr>
          <w:p>
            <w:pPr>
              <w:pStyle w:val="TableHeader"/>
              <w:spacing w:after="0"/>
            </w:pPr>
            <w:r>
              <w:t xml:space="preserve">Sezione</w:t>
            </w:r>
          </w:p>
        </w:tc>
        <w:tc>
          <w:tcPr>
            <w:tcW w:w="7800" w:type="dxa"/>
            <w:shd w:fill="D9EAF7"/>
          </w:tcPr>
          <w:p>
            <w:pPr>
              <w:pStyle w:val="TableHeader"/>
              <w:spacing w:after="0"/>
            </w:pPr>
            <w:r>
              <w:t xml:space="preserve">Titolo</w:t>
            </w:r>
          </w:p>
        </w:tc>
      </w:tr>
      <w:tr>
        <w:tc>
          <w:tcPr>
            <w:tcW w:w="1400" w:type="dxa"/>
          </w:tcPr>
          <w:p>
            <w:pPr>
              <w:pStyle w:val="TableText"/>
              <w:spacing w:after="0"/>
            </w:pPr>
            <w:r>
              <w:t xml:space="preserve">1</w:t>
            </w:r>
          </w:p>
        </w:tc>
        <w:tc>
          <w:tcPr>
            <w:tcW w:w="7800" w:type="dxa"/>
          </w:tcPr>
          <w:p>
            <w:pPr>
              <w:pStyle w:val="TableText"/>
              <w:spacing w:after="0"/>
            </w:pPr>
            <w:r>
              <w:t xml:space="preserve">Introduzione</w:t>
            </w:r>
          </w:p>
        </w:tc>
      </w:tr>
      <w:tr>
        <w:tc>
          <w:tcPr>
            <w:tcW w:w="1400" w:type="dxa"/>
          </w:tcPr>
          <w:p>
            <w:pPr>
              <w:pStyle w:val="TableText"/>
              <w:spacing w:after="0"/>
            </w:pPr>
            <w:r>
              <w:t xml:space="preserve">2</w:t>
            </w:r>
          </w:p>
        </w:tc>
        <w:tc>
          <w:tcPr>
            <w:tcW w:w="7800" w:type="dxa"/>
          </w:tcPr>
          <w:p>
            <w:pPr>
              <w:pStyle w:val="TableText"/>
              <w:spacing w:after="0"/>
            </w:pPr>
            <w:r>
              <w:t xml:space="preserve">Scopo del documento</w:t>
            </w:r>
          </w:p>
        </w:tc>
      </w:tr>
      <w:tr>
        <w:tc>
          <w:tcPr>
            <w:tcW w:w="1400" w:type="dxa"/>
          </w:tcPr>
          <w:p>
            <w:pPr>
              <w:pStyle w:val="TableText"/>
              <w:spacing w:after="0"/>
            </w:pPr>
            <w:r>
              <w:t xml:space="preserve">3</w:t>
            </w:r>
          </w:p>
        </w:tc>
        <w:tc>
          <w:tcPr>
            <w:tcW w:w="7800" w:type="dxa"/>
          </w:tcPr>
          <w:p>
            <w:pPr>
              <w:pStyle w:val="TableText"/>
              <w:spacing w:after="0"/>
            </w:pPr>
            <w:r>
              <w:t xml:space="preserve">Ambito di applicazione</w:t>
            </w:r>
          </w:p>
        </w:tc>
      </w:tr>
      <w:tr>
        <w:tc>
          <w:tcPr>
            <w:tcW w:w="1400" w:type="dxa"/>
          </w:tcPr>
          <w:p>
            <w:pPr>
              <w:pStyle w:val="TableText"/>
              <w:spacing w:after="0"/>
            </w:pPr>
            <w:r>
              <w:t xml:space="preserve">4</w:t>
            </w:r>
          </w:p>
        </w:tc>
        <w:tc>
          <w:tcPr>
            <w:tcW w:w="7800" w:type="dxa"/>
          </w:tcPr>
          <w:p>
            <w:pPr>
              <w:pStyle w:val="TableText"/>
              <w:spacing w:after="0"/>
            </w:pPr>
            <w:r>
              <w:t xml:space="preserve">Descrizione generale del sistema</w:t>
            </w:r>
          </w:p>
        </w:tc>
      </w:tr>
      <w:tr>
        <w:tc>
          <w:tcPr>
            <w:tcW w:w="1400" w:type="dxa"/>
          </w:tcPr>
          <w:p>
            <w:pPr>
              <w:pStyle w:val="TableText"/>
              <w:spacing w:after="0"/>
            </w:pPr>
            <w:r>
              <w:t xml:space="preserve">4.1</w:t>
            </w:r>
          </w:p>
        </w:tc>
        <w:tc>
          <w:tcPr>
            <w:tcW w:w="7800" w:type="dxa"/>
          </w:tcPr>
          <w:p>
            <w:pPr>
              <w:pStyle w:val="TableText"/>
              <w:spacing w:after="0"/>
            </w:pPr>
            <w:r>
              <w:t xml:space="preserve">Architettura logica</w:t>
            </w:r>
          </w:p>
        </w:tc>
      </w:tr>
      <w:tr>
        <w:tc>
          <w:tcPr>
            <w:tcW w:w="1400" w:type="dxa"/>
          </w:tcPr>
          <w:p>
            <w:pPr>
              <w:pStyle w:val="TableText"/>
              <w:spacing w:after="0"/>
            </w:pPr>
            <w:r>
              <w:t xml:space="preserve">4.2</w:t>
            </w:r>
          </w:p>
        </w:tc>
        <w:tc>
          <w:tcPr>
            <w:tcW w:w="7800" w:type="dxa"/>
          </w:tcPr>
          <w:p>
            <w:pPr>
              <w:pStyle w:val="TableText"/>
              <w:spacing w:after="0"/>
            </w:pPr>
            <w:r>
              <w:t xml:space="preserve">Modalita di funzionamento</w:t>
            </w:r>
          </w:p>
        </w:tc>
      </w:tr>
      <w:tr>
        <w:tc>
          <w:tcPr>
            <w:tcW w:w="1400" w:type="dxa"/>
          </w:tcPr>
          <w:p>
            <w:pPr>
              <w:pStyle w:val="TableText"/>
              <w:spacing w:after="0"/>
            </w:pPr>
            <w:r>
              <w:t xml:space="preserve">4.3</w:t>
            </w:r>
          </w:p>
        </w:tc>
        <w:tc>
          <w:tcPr>
            <w:tcW w:w="7800" w:type="dxa"/>
          </w:tcPr>
          <w:p>
            <w:pPr>
              <w:pStyle w:val="TableText"/>
              <w:spacing w:after="0"/>
            </w:pPr>
            <w:r>
              <w:t xml:space="preserve">Integrazione con l'infrastruttura</w:t>
            </w:r>
          </w:p>
        </w:tc>
      </w:tr>
      <w:tr>
        <w:tc>
          <w:tcPr>
            <w:tcW w:w="1400" w:type="dxa"/>
          </w:tcPr>
          <w:p>
            <w:pPr>
              <w:pStyle w:val="TableText"/>
              <w:spacing w:after="0"/>
            </w:pPr>
            <w:r>
              <w:t xml:space="preserve">4.4</w:t>
            </w:r>
          </w:p>
        </w:tc>
        <w:tc>
          <w:tcPr>
            <w:tcW w:w="7800" w:type="dxa"/>
          </w:tcPr>
          <w:p>
            <w:pPr>
              <w:pStyle w:val="TableText"/>
              <w:spacing w:after="0"/>
            </w:pPr>
            <w:r>
              <w:t xml:space="preserve">Caratteristiche principali</w:t>
            </w:r>
          </w:p>
        </w:tc>
      </w:tr>
      <w:tr>
        <w:tc>
          <w:tcPr>
            <w:tcW w:w="1400" w:type="dxa"/>
          </w:tcPr>
          <w:p>
            <w:pPr>
              <w:pStyle w:val="TableText"/>
              <w:spacing w:after="0"/>
            </w:pPr>
            <w:r>
              <w:t xml:space="preserve">4.5</w:t>
            </w:r>
          </w:p>
        </w:tc>
        <w:tc>
          <w:tcPr>
            <w:tcW w:w="7800" w:type="dxa"/>
          </w:tcPr>
          <w:p>
            <w:pPr>
              <w:pStyle w:val="TableText"/>
              <w:spacing w:after="0"/>
            </w:pPr>
            <w:r>
              <w:t xml:space="preserve">Schema logico del sistema</w:t>
            </w:r>
          </w:p>
        </w:tc>
      </w:tr>
      <w:tr>
        <w:tc>
          <w:tcPr>
            <w:tcW w:w="1400" w:type="dxa"/>
          </w:tcPr>
          <w:p>
            <w:pPr>
              <w:pStyle w:val="TableText"/>
              <w:spacing w:after="0"/>
            </w:pPr>
            <w:r>
              <w:t xml:space="preserve">5</w:t>
            </w:r>
          </w:p>
        </w:tc>
        <w:tc>
          <w:tcPr>
            <w:tcW w:w="7800" w:type="dxa"/>
          </w:tcPr>
          <w:p>
            <w:pPr>
              <w:pStyle w:val="TableText"/>
              <w:spacing w:after="0"/>
            </w:pPr>
            <w:r>
              <w:t xml:space="preserve">Architettura del sistema</w:t>
            </w:r>
          </w:p>
        </w:tc>
      </w:tr>
      <w:tr>
        <w:tc>
          <w:tcPr>
            <w:tcW w:w="1400" w:type="dxa"/>
          </w:tcPr>
          <w:p>
            <w:pPr>
              <w:pStyle w:val="TableText"/>
              <w:spacing w:after="0"/>
            </w:pPr>
            <w:r>
              <w:t xml:space="preserve">5.1</w:t>
            </w:r>
          </w:p>
        </w:tc>
        <w:tc>
          <w:tcPr>
            <w:tcW w:w="7800" w:type="dxa"/>
          </w:tcPr>
          <w:p>
            <w:pPr>
              <w:pStyle w:val="TableText"/>
              <w:spacing w:after="0"/>
            </w:pPr>
            <w:r>
              <w:t xml:space="preserve">Componenti applicative</w:t>
            </w:r>
          </w:p>
        </w:tc>
      </w:tr>
      <w:tr>
        <w:tc>
          <w:tcPr>
            <w:tcW w:w="1400" w:type="dxa"/>
          </w:tcPr>
          <w:p>
            <w:pPr>
              <w:pStyle w:val="TableText"/>
              <w:spacing w:after="0"/>
            </w:pPr>
            <w:r>
              <w:t xml:space="preserve">5.2</w:t>
            </w:r>
          </w:p>
        </w:tc>
        <w:tc>
          <w:tcPr>
            <w:tcW w:w="7800" w:type="dxa"/>
          </w:tcPr>
          <w:p>
            <w:pPr>
              <w:pStyle w:val="TableText"/>
              <w:spacing w:after="0"/>
            </w:pPr>
            <w:r>
              <w:t xml:space="preserve">Dipendenze e librerie</w:t>
            </w:r>
          </w:p>
        </w:tc>
      </w:tr>
      <w:tr>
        <w:tc>
          <w:tcPr>
            <w:tcW w:w="1400" w:type="dxa"/>
          </w:tcPr>
          <w:p>
            <w:pPr>
              <w:pStyle w:val="TableText"/>
              <w:spacing w:after="0"/>
            </w:pPr>
            <w:r>
              <w:t xml:space="preserve">5.3</w:t>
            </w:r>
          </w:p>
        </w:tc>
        <w:tc>
          <w:tcPr>
            <w:tcW w:w="7800" w:type="dxa"/>
          </w:tcPr>
          <w:p>
            <w:pPr>
              <w:pStyle w:val="TableText"/>
              <w:spacing w:after="0"/>
            </w:pPr>
            <w:r>
              <w:t xml:space="preserve">Flussi di comunicazione</w:t>
            </w:r>
          </w:p>
        </w:tc>
      </w:tr>
      <w:tr>
        <w:tc>
          <w:tcPr>
            <w:tcW w:w="1400" w:type="dxa"/>
          </w:tcPr>
          <w:p>
            <w:pPr>
              <w:pStyle w:val="TableText"/>
              <w:spacing w:after="0"/>
            </w:pPr>
            <w:r>
              <w:t xml:space="preserve">6</w:t>
            </w:r>
          </w:p>
        </w:tc>
        <w:tc>
          <w:tcPr>
            <w:tcW w:w="7800" w:type="dxa"/>
          </w:tcPr>
          <w:p>
            <w:pPr>
              <w:pStyle w:val="TableText"/>
              <w:spacing w:after="0"/>
            </w:pPr>
            <w:r>
              <w:t xml:space="preserve">Funzionamento applicativo</w:t>
            </w:r>
          </w:p>
        </w:tc>
      </w:tr>
      <w:tr>
        <w:tc>
          <w:tcPr>
            <w:tcW w:w="1400" w:type="dxa"/>
          </w:tcPr>
          <w:p>
            <w:pPr>
              <w:pStyle w:val="TableText"/>
              <w:spacing w:after="0"/>
            </w:pPr>
            <w:r>
              <w:t xml:space="preserve">6.1</w:t>
            </w:r>
          </w:p>
        </w:tc>
        <w:tc>
          <w:tcPr>
            <w:tcW w:w="7800" w:type="dxa"/>
          </w:tcPr>
          <w:p>
            <w:pPr>
              <w:pStyle w:val="TableText"/>
              <w:spacing w:after="0"/>
            </w:pPr>
            <w:r>
              <w:t xml:space="preserve">Avvio e lettura parametri</w:t>
            </w:r>
          </w:p>
        </w:tc>
      </w:tr>
      <w:tr>
        <w:tc>
          <w:tcPr>
            <w:tcW w:w="1400" w:type="dxa"/>
          </w:tcPr>
          <w:p>
            <w:pPr>
              <w:pStyle w:val="TableText"/>
              <w:spacing w:after="0"/>
            </w:pPr>
            <w:r>
              <w:t xml:space="preserve">6.2</w:t>
            </w:r>
          </w:p>
        </w:tc>
        <w:tc>
          <w:tcPr>
            <w:tcW w:w="7800" w:type="dxa"/>
          </w:tcPr>
          <w:p>
            <w:pPr>
              <w:pStyle w:val="TableText"/>
              <w:spacing w:after="0"/>
            </w:pPr>
            <w:r>
              <w:t xml:space="preserve">Connessione database</w:t>
            </w:r>
          </w:p>
        </w:tc>
      </w:tr>
      <w:tr>
        <w:tc>
          <w:tcPr>
            <w:tcW w:w="1400" w:type="dxa"/>
          </w:tcPr>
          <w:p>
            <w:pPr>
              <w:pStyle w:val="TableText"/>
              <w:spacing w:after="0"/>
            </w:pPr>
            <w:r>
              <w:t xml:space="preserve">6.3</w:t>
            </w:r>
          </w:p>
        </w:tc>
        <w:tc>
          <w:tcPr>
            <w:tcW w:w="7800" w:type="dxa"/>
          </w:tcPr>
          <w:p>
            <w:pPr>
              <w:pStyle w:val="TableText"/>
              <w:spacing w:after="0"/>
            </w:pPr>
            <w:r>
              <w:t xml:space="preserve">Lettura endpoint</w:t>
            </w:r>
          </w:p>
        </w:tc>
      </w:tr>
      <w:tr>
        <w:tc>
          <w:tcPr>
            <w:tcW w:w="1400" w:type="dxa"/>
          </w:tcPr>
          <w:p>
            <w:pPr>
              <w:pStyle w:val="TableText"/>
              <w:spacing w:after="0"/>
            </w:pPr>
            <w:r>
              <w:t xml:space="preserve">6.4</w:t>
            </w:r>
          </w:p>
        </w:tc>
        <w:tc>
          <w:tcPr>
            <w:tcW w:w="7800" w:type="dxa"/>
          </w:tcPr>
          <w:p>
            <w:pPr>
              <w:pStyle w:val="TableText"/>
              <w:spacing w:after="0"/>
            </w:pPr>
            <w:r>
              <w:t xml:space="preserve">Verifica raggiungibilita</w:t>
            </w:r>
          </w:p>
        </w:tc>
      </w:tr>
      <w:tr>
        <w:tc>
          <w:tcPr>
            <w:tcW w:w="1400" w:type="dxa"/>
          </w:tcPr>
          <w:p>
            <w:pPr>
              <w:pStyle w:val="TableText"/>
              <w:spacing w:after="0"/>
            </w:pPr>
            <w:r>
              <w:t xml:space="preserve">6.5</w:t>
            </w:r>
          </w:p>
        </w:tc>
        <w:tc>
          <w:tcPr>
            <w:tcW w:w="7800" w:type="dxa"/>
          </w:tcPr>
          <w:p>
            <w:pPr>
              <w:pStyle w:val="TableText"/>
              <w:spacing w:after="0"/>
            </w:pPr>
            <w:r>
              <w:t xml:space="preserve">Aggiornamento stato</w:t>
            </w:r>
          </w:p>
        </w:tc>
      </w:tr>
      <w:tr>
        <w:tc>
          <w:tcPr>
            <w:tcW w:w="1400" w:type="dxa"/>
          </w:tcPr>
          <w:p>
            <w:pPr>
              <w:pStyle w:val="TableText"/>
              <w:spacing w:after="0"/>
            </w:pPr>
            <w:r>
              <w:t xml:space="preserve">6.6</w:t>
            </w:r>
          </w:p>
        </w:tc>
        <w:tc>
          <w:tcPr>
            <w:tcW w:w="7800" w:type="dxa"/>
          </w:tcPr>
          <w:p>
            <w:pPr>
              <w:pStyle w:val="TableText"/>
              <w:spacing w:after="0"/>
            </w:pPr>
            <w:r>
              <w:t xml:space="preserve">Politica alert mail</w:t>
            </w:r>
          </w:p>
        </w:tc>
      </w:tr>
      <w:tr>
        <w:tc>
          <w:tcPr>
            <w:tcW w:w="1400" w:type="dxa"/>
          </w:tcPr>
          <w:p>
            <w:pPr>
              <w:pStyle w:val="TableText"/>
              <w:spacing w:after="0"/>
            </w:pPr>
            <w:r>
              <w:t xml:space="preserve">6.7</w:t>
            </w:r>
          </w:p>
        </w:tc>
        <w:tc>
          <w:tcPr>
            <w:tcW w:w="7800" w:type="dxa"/>
          </w:tcPr>
          <w:p>
            <w:pPr>
              <w:pStyle w:val="TableText"/>
              <w:spacing w:after="0"/>
            </w:pPr>
            <w:r>
              <w:t xml:space="preserve">Logging invio mail</w:t>
            </w:r>
          </w:p>
        </w:tc>
      </w:tr>
      <w:tr>
        <w:tc>
          <w:tcPr>
            <w:tcW w:w="1400" w:type="dxa"/>
          </w:tcPr>
          <w:p>
            <w:pPr>
              <w:pStyle w:val="TableText"/>
              <w:spacing w:after="0"/>
            </w:pPr>
            <w:r>
              <w:t xml:space="preserve">7</w:t>
            </w:r>
          </w:p>
        </w:tc>
        <w:tc>
          <w:tcPr>
            <w:tcW w:w="7800" w:type="dxa"/>
          </w:tcPr>
          <w:p>
            <w:pPr>
              <w:pStyle w:val="TableText"/>
              <w:spacing w:after="0"/>
            </w:pPr>
            <w:r>
              <w:t xml:space="preserve">Configurazione</w:t>
            </w:r>
          </w:p>
        </w:tc>
      </w:tr>
      <w:tr>
        <w:tc>
          <w:tcPr>
            <w:tcW w:w="1400" w:type="dxa"/>
          </w:tcPr>
          <w:p>
            <w:pPr>
              <w:pStyle w:val="TableText"/>
              <w:spacing w:after="0"/>
            </w:pPr>
            <w:r>
              <w:t xml:space="preserve">8</w:t>
            </w:r>
          </w:p>
        </w:tc>
        <w:tc>
          <w:tcPr>
            <w:tcW w:w="7800" w:type="dxa"/>
          </w:tcPr>
          <w:p>
            <w:pPr>
              <w:pStyle w:val="TableText"/>
              <w:spacing w:after="0"/>
            </w:pPr>
            <w:r>
              <w:t xml:space="preserve">Gestione errori e logging</w:t>
            </w:r>
          </w:p>
        </w:tc>
      </w:tr>
      <w:tr>
        <w:tc>
          <w:tcPr>
            <w:tcW w:w="1400" w:type="dxa"/>
          </w:tcPr>
          <w:p>
            <w:pPr>
              <w:pStyle w:val="TableText"/>
              <w:spacing w:after="0"/>
            </w:pPr>
            <w:r>
              <w:t xml:space="preserve">9</w:t>
            </w:r>
          </w:p>
        </w:tc>
        <w:tc>
          <w:tcPr>
            <w:tcW w:w="7800" w:type="dxa"/>
          </w:tcPr>
          <w:p>
            <w:pPr>
              <w:pStyle w:val="TableText"/>
              <w:spacing w:after="0"/>
            </w:pPr>
            <w:r>
              <w:t xml:space="preserve">Sicurezza e manutenibilita</w:t>
            </w:r>
          </w:p>
        </w:tc>
      </w:tr>
      <w:tr>
        <w:tc>
          <w:tcPr>
            <w:tcW w:w="1400" w:type="dxa"/>
          </w:tcPr>
          <w:p>
            <w:pPr>
              <w:pStyle w:val="TableText"/>
              <w:spacing w:after="0"/>
            </w:pPr>
            <w:r>
              <w:t xml:space="preserve">10</w:t>
            </w:r>
          </w:p>
        </w:tc>
        <w:tc>
          <w:tcPr>
            <w:tcW w:w="7800" w:type="dxa"/>
          </w:tcPr>
          <w:p>
            <w:pPr>
              <w:pStyle w:val="TableText"/>
              <w:spacing w:after="0"/>
            </w:pPr>
            <w:r>
              <w:t xml:space="preserve">Requisiti di sistema</w:t>
            </w:r>
          </w:p>
        </w:tc>
      </w:tr>
      <w:tr>
        <w:tc>
          <w:tcPr>
            <w:tcW w:w="1400" w:type="dxa"/>
          </w:tcPr>
          <w:p>
            <w:pPr>
              <w:pStyle w:val="TableText"/>
              <w:spacing w:after="0"/>
            </w:pPr>
            <w:r>
              <w:t xml:space="preserve">11</w:t>
            </w:r>
          </w:p>
        </w:tc>
        <w:tc>
          <w:tcPr>
            <w:tcW w:w="7800" w:type="dxa"/>
          </w:tcPr>
          <w:p>
            <w:pPr>
              <w:pStyle w:val="TableText"/>
              <w:spacing w:after="0"/>
            </w:pPr>
            <w:r>
              <w:t xml:space="preserve">Deployment</w:t>
            </w:r>
          </w:p>
        </w:tc>
      </w:tr>
      <w:tr>
        <w:tc>
          <w:tcPr>
            <w:tcW w:w="1400" w:type="dxa"/>
          </w:tcPr>
          <w:p>
            <w:pPr>
              <w:pStyle w:val="TableText"/>
              <w:spacing w:after="0"/>
            </w:pPr>
            <w:r>
              <w:t xml:space="preserve">12</w:t>
            </w:r>
          </w:p>
        </w:tc>
        <w:tc>
          <w:tcPr>
            <w:tcW w:w="7800" w:type="dxa"/>
          </w:tcPr>
          <w:p>
            <w:pPr>
              <w:pStyle w:val="TableText"/>
              <w:spacing w:after="0"/>
            </w:pPr>
            <w:r>
              <w:t xml:space="preserve">Ambiente di esercizio</w:t>
            </w:r>
          </w:p>
        </w:tc>
      </w:tr>
      <w:tr>
        <w:tc>
          <w:tcPr>
            <w:tcW w:w="1400" w:type="dxa"/>
          </w:tcPr>
          <w:p>
            <w:pPr>
              <w:pStyle w:val="TableText"/>
              <w:spacing w:after="0"/>
            </w:pPr>
            <w:r>
              <w:t xml:space="preserve">13</w:t>
            </w:r>
          </w:p>
        </w:tc>
        <w:tc>
          <w:tcPr>
            <w:tcW w:w="7800" w:type="dxa"/>
          </w:tcPr>
          <w:p>
            <w:pPr>
              <w:pStyle w:val="TableText"/>
              <w:spacing w:after="0"/>
            </w:pPr>
            <w:r>
              <w:t xml:space="preserve">Troubleshooting</w:t>
            </w:r>
          </w:p>
        </w:tc>
      </w:tr>
      <w:tr>
        <w:tc>
          <w:tcPr>
            <w:tcW w:w="1400" w:type="dxa"/>
          </w:tcPr>
          <w:p>
            <w:pPr>
              <w:pStyle w:val="TableText"/>
              <w:spacing w:after="0"/>
            </w:pPr>
            <w:r>
              <w:t xml:space="preserve">14</w:t>
            </w:r>
          </w:p>
        </w:tc>
        <w:tc>
          <w:tcPr>
            <w:tcW w:w="7800" w:type="dxa"/>
          </w:tcPr>
          <w:p>
            <w:pPr>
              <w:pStyle w:val="TableText"/>
              <w:spacing w:after="0"/>
            </w:pPr>
            <w:r>
              <w:t xml:space="preserve">Allegati</w:t>
            </w:r>
          </w:p>
        </w:tc>
      </w:tr>
    </w:tbl>
    <w:p>
      <w:r>
        <w:br w:type="page"/>
      </w:r>
    </w:p>
    <w:p>
      <w:pPr>
        <w:pStyle w:val="Heading1"/>
        <w:spacing w:after="120"/>
      </w:pPr>
      <w:r>
        <w:t xml:space="preserve">1. Introduzione</w:t>
      </w:r>
    </w:p>
    <w:p>
      <w:r>
        <w:t xml:space="preserve">Il presente documento descrive l'architettura, le componenti e il funzionamento del sistema TopSentinelMailGallery. Il sistema e progettato per controllare periodicamente la raggiungibilita degli endpoint Gallery censiti a database, aggiornare lo stato tecnico degli endpoint e notificare via mail eventuali condizioni di indisponibilita.</w:t>
      </w:r>
    </w:p>
    <w:p>
      <w:r>
        <w:t xml:space="preserve">L'applicazione opera in modalita batch Java standalone ed e pensata per essere eseguita da schedulazione automatica su ambiente server Windows, senza interazione diretta da parte dell'utente finale.</w:t>
      </w:r>
    </w:p>
    <w:p>
      <w:pPr>
        <w:pStyle w:val="Heading1"/>
        <w:spacing w:after="120"/>
      </w:pPr>
      <w:r>
        <w:t xml:space="preserve">2. Scopo del documento</w:t>
      </w:r>
    </w:p>
    <w:p>
      <w:r>
        <w:t xml:space="preserve">Lo scopo del documento e fornire una descrizione tecnica utile per gestione, manutenzione, deployment ed evoluzione del software. Le informazioni sono rivolte al personale tecnico incaricato di presidiare il job, il database applicativo, il servizio mail e l'ambiente di esercizio.</w:t>
      </w:r>
    </w:p>
    <w:p>
      <w:r>
        <w:t xml:space="preserve">Il documento non sostituisce il codice sorgente, ma ne sintetizza comportamento, configurazione, prerequisiti, flussi e punti di attenzione operativa.</w:t>
      </w:r>
    </w:p>
    <w:p>
      <w:pPr>
        <w:pStyle w:val="Heading1"/>
        <w:spacing w:after="120"/>
      </w:pPr>
      <w:r>
        <w:t xml:space="preserve">3. Ambito di applicazione</w:t>
      </w:r>
    </w:p>
    <w:p>
      <w:r>
        <w:t xml:space="preserve">TopSentinelMailGallery si applica al monitoraggio tecnico degli endpoint Gallery registrati nella tabella TOPSENTINEL_ENDPOINT. Il controllo avviene tramite apertura socket verso host e porta configurati; l'esito viene salvato a database e, nei casi previsti, viene inviata una comunicazione email tramite servizio SOAP TopMail.</w:t>
      </w:r>
    </w:p>
    <w:p>
      <w:pPr>
        <w:pStyle w:val="ListParagraph"/>
        <w:spacing w:after="60"/>
      </w:pPr>
      <w:r>
        <w:t xml:space="preserve">- lettura degli endpoint da database Oracle;</w:t>
      </w:r>
    </w:p>
    <w:p>
      <w:pPr>
        <w:pStyle w:val="ListParagraph"/>
        <w:spacing w:after="60"/>
      </w:pPr>
      <w:r>
        <w:t xml:space="preserve">- verifica della raggiungibilita host/porta con timeout configurabile;</w:t>
      </w:r>
    </w:p>
    <w:p>
      <w:pPr>
        <w:pStyle w:val="ListParagraph"/>
        <w:spacing w:after="60"/>
      </w:pPr>
      <w:r>
        <w:t xml:space="preserve">- aggiornamento dei campi di stato e data ultimo controllo;</w:t>
      </w:r>
    </w:p>
    <w:p>
      <w:pPr>
        <w:pStyle w:val="ListParagraph"/>
        <w:spacing w:after="60"/>
      </w:pPr>
      <w:r>
        <w:t xml:space="preserve">- registrazione della data di ultima raggiungibilita;</w:t>
      </w:r>
    </w:p>
    <w:p>
      <w:pPr>
        <w:pStyle w:val="ListParagraph"/>
        <w:spacing w:after="60"/>
      </w:pPr>
      <w:r>
        <w:t xml:space="preserve">- invio di alert mail in caso di cambio stato o promemoria periodico;</w:t>
      </w:r>
    </w:p>
    <w:p>
      <w:pPr>
        <w:pStyle w:val="ListParagraph"/>
        <w:spacing w:after="60"/>
      </w:pPr>
      <w:r>
        <w:t xml:space="preserve">- produzione di log testuale su console, file batch e cartella dedicata agli invii mail.</w:t>
      </w:r>
    </w:p>
    <w:p>
      <w:r>
        <w:t xml:space="preserve">Sono esclusi dall'ambito del sistema la gestione funzionale della piattaforma Gallery, la modifica dei contenuti applicativi e il presidio infrastrutturale dei server remoti.</w:t>
      </w:r>
    </w:p>
    <w:p>
      <w:pPr>
        <w:pStyle w:val="Heading1"/>
        <w:spacing w:after="120"/>
      </w:pPr>
      <w:r>
        <w:t xml:space="preserve">4. Descrizione generale del sistema</w:t>
      </w:r>
    </w:p>
    <w:p>
      <w:pPr>
        <w:pStyle w:val="Heading2"/>
        <w:spacing w:after="120"/>
      </w:pPr>
      <w:r>
        <w:t xml:space="preserve">4.1 Architettura logica</w:t>
      </w:r>
    </w:p>
    <w:p>
      <w:r>
        <w:t xml:space="preserve">Il sistema e composto da un'applicazione Java, una tabella di configurazione/stato su database Oracle, un servizio SOAP per l'invio delle email e una cartella di log su file system. L'applicazione non espone interfacce web o servizi in ascolto: viene avviata, esegue il ciclo di controllo e termina.</w:t>
      </w:r>
    </w:p>
    <w:p>
      <w:pPr>
        <w:pStyle w:val="Code"/>
        <w:spacing w:after="0"/>
      </w:pPr>
      <w:r>
        <w:t xml:space="preserve">Windows Task Scheduler</w:t>
      </w:r>
    </w:p>
    <w:p>
      <w:pPr>
        <w:pStyle w:val="Code"/>
        <w:spacing w:after="0"/>
      </w:pPr>
      <w:r>
        <w:t xml:space="preserve">        |</w:t>
      </w:r>
    </w:p>
    <w:p>
      <w:pPr>
        <w:pStyle w:val="Code"/>
        <w:spacing w:after="0"/>
      </w:pPr>
      <w:r>
        <w:t xml:space="preserve">run-topsentinel-mail-gallery.cmd</w:t>
      </w:r>
    </w:p>
    <w:p>
      <w:pPr>
        <w:pStyle w:val="Code"/>
        <w:spacing w:after="0"/>
      </w:pPr>
      <w:r>
        <w:t xml:space="preserve">        |</w:t>
      </w:r>
    </w:p>
    <w:p>
      <w:pPr>
        <w:pStyle w:val="Code"/>
        <w:spacing w:after="0"/>
      </w:pPr>
      <w:r>
        <w:t xml:space="preserve">TopSentinelMailGallery.jar</w:t>
      </w:r>
    </w:p>
    <w:p>
      <w:pPr>
        <w:pStyle w:val="Code"/>
        <w:spacing w:after="0"/>
      </w:pPr>
      <w:r>
        <w:t xml:space="preserve">        |</w:t>
      </w:r>
    </w:p>
    <w:p>
      <w:pPr>
        <w:pStyle w:val="Code"/>
        <w:spacing w:after="0"/>
      </w:pPr>
      <w:r>
        <w:t xml:space="preserve">        +-- Oracle DB: TOPSENTINEL_ENDPOINT</w:t>
      </w:r>
    </w:p>
    <w:p>
      <w:pPr>
        <w:pStyle w:val="Code"/>
        <w:spacing w:after="0"/>
      </w:pPr>
      <w:r>
        <w:t xml:space="preserve">        +-- Socket TCP verso endpoint Gallery</w:t>
      </w:r>
    </w:p>
    <w:p>
      <w:pPr>
        <w:pStyle w:val="Code"/>
        <w:spacing w:after="0"/>
      </w:pPr>
      <w:r>
        <w:t xml:space="preserve">        +-- SOAP HTTP: TopMail.asmx</w:t>
      </w:r>
    </w:p>
    <w:p>
      <w:pPr>
        <w:pStyle w:val="Code"/>
        <w:spacing w:after="0"/>
      </w:pPr>
      <w:r>
        <w:t xml:space="preserve">        +-- File system: log applicativi e log invio mail</w:t>
      </w:r>
    </w:p>
    <w:p>
      <w:pPr>
        <w:pStyle w:val="Heading2"/>
        <w:spacing w:after="120"/>
      </w:pPr>
      <w:r>
        <w:t xml:space="preserve">4.2 Modalita di funzionamento</w:t>
      </w:r>
    </w:p>
    <w:p>
      <w:r>
        <w:t xml:space="preserve">A ogni esecuzione il job apre una connessione al database, legge tutte le righe presenti in TOPSENTINEL_ENDPOINT, normalizza l'host indicato nel campo ENDPOINT, verifica la connessione TCP verso la PORTA configurata e aggiorna lo stato ATTIVO.</w:t>
      </w:r>
    </w:p>
    <w:p>
      <w:r>
        <w:t xml:space="preserve">La data di riferimento per le decisioni operative viene letta dal database tramite SYSDATE, cosi il controllo dei promemoria mail e coerente con l'orario del sistema informativo centrale.</w:t>
      </w:r>
    </w:p>
    <w:p>
      <w:pPr>
        <w:pStyle w:val="Heading2"/>
        <w:spacing w:after="120"/>
      </w:pPr>
      <w:r>
        <w:t xml:space="preserve">4.3 Integrazione con l'infrastruttura</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2300"/>
        <w:gridCol w:w="6900"/>
      </w:tblGrid>
      <w:tr>
        <w:tc>
          <w:tcPr>
            <w:tcW w:w="2300" w:type="dxa"/>
            <w:shd w:fill="D9EAF7"/>
          </w:tcPr>
          <w:p>
            <w:pPr>
              <w:pStyle w:val="TableHeader"/>
              <w:spacing w:after="0"/>
            </w:pPr>
            <w:r>
              <w:t xml:space="preserve">Integrazione</w:t>
            </w:r>
          </w:p>
        </w:tc>
        <w:tc>
          <w:tcPr>
            <w:tcW w:w="6900" w:type="dxa"/>
            <w:shd w:fill="D9EAF7"/>
          </w:tcPr>
          <w:p>
            <w:pPr>
              <w:pStyle w:val="TableHeader"/>
              <w:spacing w:after="0"/>
            </w:pPr>
            <w:r>
              <w:t xml:space="preserve">Descrizione</w:t>
            </w:r>
          </w:p>
        </w:tc>
      </w:tr>
      <w:tr>
        <w:tc>
          <w:tcPr>
            <w:tcW w:w="2300" w:type="dxa"/>
          </w:tcPr>
          <w:p>
            <w:pPr>
              <w:pStyle w:val="TableText"/>
              <w:spacing w:after="0"/>
            </w:pPr>
            <w:r>
              <w:t xml:space="preserve">Database Oracle</w:t>
            </w:r>
          </w:p>
        </w:tc>
        <w:tc>
          <w:tcPr>
            <w:tcW w:w="6900" w:type="dxa"/>
          </w:tcPr>
          <w:p>
            <w:pPr>
              <w:pStyle w:val="TableText"/>
              <w:spacing w:after="0"/>
            </w:pPr>
            <w:r>
              <w:t xml:space="preserve">Connessione JDBC diretta tramite ojdbc8. Lettura e aggiornamento della tabella TOPSENTINEL_ENDPOINT.</w:t>
            </w:r>
          </w:p>
        </w:tc>
      </w:tr>
      <w:tr>
        <w:tc>
          <w:tcPr>
            <w:tcW w:w="2300" w:type="dxa"/>
          </w:tcPr>
          <w:p>
            <w:pPr>
              <w:pStyle w:val="TableText"/>
              <w:spacing w:after="0"/>
            </w:pPr>
            <w:r>
              <w:t xml:space="preserve">Endpoint Gallery</w:t>
            </w:r>
          </w:p>
        </w:tc>
        <w:tc>
          <w:tcPr>
            <w:tcW w:w="6900" w:type="dxa"/>
          </w:tcPr>
          <w:p>
            <w:pPr>
              <w:pStyle w:val="TableText"/>
              <w:spacing w:after="0"/>
            </w:pPr>
            <w:r>
              <w:t xml:space="preserve">Verifica tecnica mediante socket TCP su host e porta configurati.</w:t>
            </w:r>
          </w:p>
        </w:tc>
      </w:tr>
      <w:tr>
        <w:tc>
          <w:tcPr>
            <w:tcW w:w="2300" w:type="dxa"/>
          </w:tcPr>
          <w:p>
            <w:pPr>
              <w:pStyle w:val="TableText"/>
              <w:spacing w:after="0"/>
            </w:pPr>
            <w:r>
              <w:t xml:space="preserve">Servizio TopMail</w:t>
            </w:r>
          </w:p>
        </w:tc>
        <w:tc>
          <w:tcPr>
            <w:tcW w:w="6900" w:type="dxa"/>
          </w:tcPr>
          <w:p>
            <w:pPr>
              <w:pStyle w:val="TableText"/>
              <w:spacing w:after="0"/>
            </w:pPr>
            <w:r>
              <w:t xml:space="preserve">Invio alert tramite richiesta SOAP HTTP POST verso TopMail.asmx, metodo InvioMailConCCN.</w:t>
            </w:r>
          </w:p>
        </w:tc>
      </w:tr>
      <w:tr>
        <w:tc>
          <w:tcPr>
            <w:tcW w:w="2300" w:type="dxa"/>
          </w:tcPr>
          <w:p>
            <w:pPr>
              <w:pStyle w:val="TableText"/>
              <w:spacing w:after="0"/>
            </w:pPr>
            <w:r>
              <w:t xml:space="preserve">File system</w:t>
            </w:r>
          </w:p>
        </w:tc>
        <w:tc>
          <w:tcPr>
            <w:tcW w:w="6900" w:type="dxa"/>
          </w:tcPr>
          <w:p>
            <w:pPr>
              <w:pStyle w:val="TableText"/>
              <w:spacing w:after="0"/>
            </w:pPr>
            <w:r>
              <w:t xml:space="preserve">Scrittura del log batch nella cartella locale di esecuzione e del log mail nella cartella configurata.</w:t>
            </w:r>
          </w:p>
        </w:tc>
      </w:tr>
      <w:tr>
        <w:tc>
          <w:tcPr>
            <w:tcW w:w="2300" w:type="dxa"/>
          </w:tcPr>
          <w:p>
            <w:pPr>
              <w:pStyle w:val="TableText"/>
              <w:spacing w:after="0"/>
            </w:pPr>
            <w:r>
              <w:t xml:space="preserve">Windows Task Scheduler</w:t>
            </w:r>
          </w:p>
        </w:tc>
        <w:tc>
          <w:tcPr>
            <w:tcW w:w="6900" w:type="dxa"/>
          </w:tcPr>
          <w:p>
            <w:pPr>
              <w:pStyle w:val="TableText"/>
              <w:spacing w:after="0"/>
            </w:pPr>
            <w:r>
              <w:t xml:space="preserve">Esecuzione ricorrente del batch run-topsentinel-mail-gallery.cmd.</w:t>
            </w:r>
          </w:p>
        </w:tc>
      </w:tr>
    </w:tbl>
    <w:p>
      <w:pPr>
        <w:pStyle w:val="Heading2"/>
        <w:spacing w:after="120"/>
      </w:pPr>
      <w:r>
        <w:t xml:space="preserve">4.4 Caratteristiche principali</w:t>
      </w:r>
    </w:p>
    <w:p>
      <w:pPr>
        <w:pStyle w:val="ListParagraph"/>
        <w:spacing w:after="60"/>
      </w:pPr>
      <w:r>
        <w:t xml:space="preserve">- applicazione Java 8 standalone con main class TopSentinelMailGallery.TopSentinelMailGallery;</w:t>
      </w:r>
    </w:p>
    <w:p>
      <w:pPr>
        <w:pStyle w:val="ListParagraph"/>
        <w:spacing w:after="60"/>
      </w:pPr>
      <w:r>
        <w:t xml:space="preserve">- parametri runtime sovrascrivibili da riga di comando;</w:t>
      </w:r>
    </w:p>
    <w:p>
      <w:pPr>
        <w:pStyle w:val="ListParagraph"/>
        <w:spacing w:after="60"/>
      </w:pPr>
      <w:r>
        <w:t xml:space="preserve">- timeout connessione endpoint configurabile;</w:t>
      </w:r>
    </w:p>
    <w:p>
      <w:pPr>
        <w:pStyle w:val="ListParagraph"/>
        <w:spacing w:after="60"/>
      </w:pPr>
      <w:r>
        <w:t xml:space="preserve">- normalizzazione host da URL, host:porta o indirizzo semplice;</w:t>
      </w:r>
    </w:p>
    <w:p>
      <w:pPr>
        <w:pStyle w:val="ListParagraph"/>
        <w:spacing w:after="60"/>
      </w:pPr>
      <w:r>
        <w:t xml:space="preserve">- aggiornamento atomico dello stato endpoint tramite PreparedStatement;</w:t>
      </w:r>
    </w:p>
    <w:p>
      <w:pPr>
        <w:pStyle w:val="ListParagraph"/>
        <w:spacing w:after="60"/>
      </w:pPr>
      <w:r>
        <w:t xml:space="preserve">- politica mail che evita invii continui fuori dalla finestra di promemoria;</w:t>
      </w:r>
    </w:p>
    <w:p>
      <w:pPr>
        <w:pStyle w:val="ListParagraph"/>
        <w:spacing w:after="60"/>
      </w:pPr>
      <w:r>
        <w:t xml:space="preserve">- log di riepilogo con conteggi di endpoint raggiungibili, non raggiungibili, record aggiornati e mail inviate/non inviate.</w:t>
      </w:r>
    </w:p>
    <w:p>
      <w:pPr>
        <w:pStyle w:val="Heading2"/>
        <w:spacing w:after="120"/>
      </w:pPr>
      <w:r>
        <w:t xml:space="preserve">4.5 Schema logico del sistema</w:t>
      </w:r>
    </w:p>
    <w:p>
      <w:r>
        <w:t xml:space="preserve">Il modello logico e volutamente lineare: il database e la fonte dati degli endpoint e, allo stesso tempo, il punto in cui viene storicizzato lo stato tecnico corrente. Il servizio mail e utilizzato solo in caso di indisponibilita e non e necessario per completare l'aggiornamento dello stato degli endpoint.</w:t>
      </w:r>
    </w:p>
    <w:p>
      <w:pPr>
        <w:pStyle w:val="Heading1"/>
        <w:spacing w:after="120"/>
      </w:pPr>
      <w:r>
        <w:t xml:space="preserve">5. Architettura del sistema</w:t>
      </w:r>
    </w:p>
    <w:p>
      <w:pPr>
        <w:pStyle w:val="Heading2"/>
        <w:spacing w:after="120"/>
      </w:pPr>
      <w:r>
        <w:t xml:space="preserve">5.1 Componenti applicative</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1800"/>
        <w:gridCol w:w="3500"/>
        <w:gridCol w:w="3900"/>
      </w:tblGrid>
      <w:tr>
        <w:tc>
          <w:tcPr>
            <w:tcW w:w="1800" w:type="dxa"/>
            <w:shd w:fill="D9EAF7"/>
          </w:tcPr>
          <w:p>
            <w:pPr>
              <w:pStyle w:val="TableHeader"/>
              <w:spacing w:after="0"/>
            </w:pPr>
            <w:r>
              <w:t xml:space="preserve">Componente</w:t>
            </w:r>
          </w:p>
        </w:tc>
        <w:tc>
          <w:tcPr>
            <w:tcW w:w="3500" w:type="dxa"/>
            <w:shd w:fill="D9EAF7"/>
          </w:tcPr>
          <w:p>
            <w:pPr>
              <w:pStyle w:val="TableHeader"/>
              <w:spacing w:after="0"/>
            </w:pPr>
            <w:r>
              <w:t xml:space="preserve">File</w:t>
            </w:r>
          </w:p>
        </w:tc>
        <w:tc>
          <w:tcPr>
            <w:tcW w:w="3900" w:type="dxa"/>
            <w:shd w:fill="D9EAF7"/>
          </w:tcPr>
          <w:p>
            <w:pPr>
              <w:pStyle w:val="TableHeader"/>
              <w:spacing w:after="0"/>
            </w:pPr>
            <w:r>
              <w:t xml:space="preserve">Responsabilita</w:t>
            </w:r>
          </w:p>
        </w:tc>
      </w:tr>
      <w:tr>
        <w:tc>
          <w:tcPr>
            <w:tcW w:w="1800" w:type="dxa"/>
          </w:tcPr>
          <w:p>
            <w:pPr>
              <w:pStyle w:val="TableText"/>
              <w:spacing w:after="0"/>
            </w:pPr>
            <w:r>
              <w:t xml:space="preserve">Job principale</w:t>
            </w:r>
          </w:p>
        </w:tc>
        <w:tc>
          <w:tcPr>
            <w:tcW w:w="3500" w:type="dxa"/>
          </w:tcPr>
          <w:p>
            <w:pPr>
              <w:pStyle w:val="TableText"/>
              <w:spacing w:after="0"/>
            </w:pPr>
            <w:r>
              <w:t xml:space="preserve">src/TopSentinelMailGallery/TopSentinelMailGallery.java</w:t>
            </w:r>
          </w:p>
        </w:tc>
        <w:tc>
          <w:tcPr>
            <w:tcW w:w="3900" w:type="dxa"/>
          </w:tcPr>
          <w:p>
            <w:pPr>
              <w:pStyle w:val="TableText"/>
              <w:spacing w:after="0"/>
            </w:pPr>
            <w:r>
              <w:t xml:space="preserve">Parsing parametri, ciclo di controllo endpoint, aggiornamento database, logica alert e riepilogo esecuzione.</w:t>
            </w:r>
          </w:p>
        </w:tc>
      </w:tr>
      <w:tr>
        <w:tc>
          <w:tcPr>
            <w:tcW w:w="1800" w:type="dxa"/>
          </w:tcPr>
          <w:p>
            <w:pPr>
              <w:pStyle w:val="TableText"/>
              <w:spacing w:after="0"/>
            </w:pPr>
            <w:r>
              <w:t xml:space="preserve">Servizio mail</w:t>
            </w:r>
          </w:p>
        </w:tc>
        <w:tc>
          <w:tcPr>
            <w:tcW w:w="3500" w:type="dxa"/>
          </w:tcPr>
          <w:p>
            <w:pPr>
              <w:pStyle w:val="TableText"/>
              <w:spacing w:after="0"/>
            </w:pPr>
            <w:r>
              <w:t xml:space="preserve">src/TopSentinelMailGallery/TopMailService.java</w:t>
            </w:r>
          </w:p>
        </w:tc>
        <w:tc>
          <w:tcPr>
            <w:tcW w:w="3900" w:type="dxa"/>
          </w:tcPr>
          <w:p>
            <w:pPr>
              <w:pStyle w:val="TableText"/>
              <w:spacing w:after="0"/>
            </w:pPr>
            <w:r>
              <w:t xml:space="preserve">Costruzione envelope SOAP, invio HTTP POST, gestione response code e SOAP Fault.</w:t>
            </w:r>
          </w:p>
        </w:tc>
      </w:tr>
      <w:tr>
        <w:tc>
          <w:tcPr>
            <w:tcW w:w="1800" w:type="dxa"/>
          </w:tcPr>
          <w:p>
            <w:pPr>
              <w:pStyle w:val="TableText"/>
              <w:spacing w:after="0"/>
            </w:pPr>
            <w:r>
              <w:t xml:space="preserve">Accesso dati</w:t>
            </w:r>
          </w:p>
        </w:tc>
        <w:tc>
          <w:tcPr>
            <w:tcW w:w="3500" w:type="dxa"/>
          </w:tcPr>
          <w:p>
            <w:pPr>
              <w:pStyle w:val="TableText"/>
              <w:spacing w:after="0"/>
            </w:pPr>
            <w:r>
              <w:t xml:space="preserve">src/TopSentinelMailGallery/DataService.java</w:t>
            </w:r>
          </w:p>
        </w:tc>
        <w:tc>
          <w:tcPr>
            <w:tcW w:w="3900" w:type="dxa"/>
          </w:tcPr>
          <w:p>
            <w:pPr>
              <w:pStyle w:val="TableText"/>
              <w:spacing w:after="0"/>
            </w:pPr>
            <w:r>
              <w:t xml:space="preserve">Apertura connessione tramite DataSource JNDI se configurato o DriverManager JDBC.</w:t>
            </w:r>
          </w:p>
        </w:tc>
      </w:tr>
      <w:tr>
        <w:tc>
          <w:tcPr>
            <w:tcW w:w="1800" w:type="dxa"/>
          </w:tcPr>
          <w:p>
            <w:pPr>
              <w:pStyle w:val="TableText"/>
              <w:spacing w:after="0"/>
            </w:pPr>
            <w:r>
              <w:t xml:space="preserve">Batch avvio</w:t>
            </w:r>
          </w:p>
        </w:tc>
        <w:tc>
          <w:tcPr>
            <w:tcW w:w="3500" w:type="dxa"/>
          </w:tcPr>
          <w:p>
            <w:pPr>
              <w:pStyle w:val="TableText"/>
              <w:spacing w:after="0"/>
            </w:pPr>
            <w:r>
              <w:t xml:space="preserve">dist/run-topsentinel-mail-gallery.cmd</w:t>
            </w:r>
          </w:p>
        </w:tc>
        <w:tc>
          <w:tcPr>
            <w:tcW w:w="3900" w:type="dxa"/>
          </w:tcPr>
          <w:p>
            <w:pPr>
              <w:pStyle w:val="TableText"/>
              <w:spacing w:after="0"/>
            </w:pPr>
            <w:r>
              <w:t xml:space="preserve">Imposta directory di lavoro, seleziona Java, crea cartella logs e reindirizza stdout/stderr.</w:t>
            </w:r>
          </w:p>
        </w:tc>
      </w:tr>
    </w:tbl>
    <w:p>
      <w:pPr>
        <w:pStyle w:val="Heading2"/>
        <w:spacing w:after="120"/>
      </w:pPr>
      <w:r>
        <w:t xml:space="preserve">5.2 Dipendenze e librerie</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3700"/>
        <w:gridCol w:w="5500"/>
      </w:tblGrid>
      <w:tr>
        <w:tc>
          <w:tcPr>
            <w:tcW w:w="3700" w:type="dxa"/>
            <w:shd w:fill="D9EAF7"/>
          </w:tcPr>
          <w:p>
            <w:pPr>
              <w:pStyle w:val="TableHeader"/>
              <w:spacing w:after="0"/>
            </w:pPr>
            <w:r>
              <w:t xml:space="preserve">Libreria</w:t>
            </w:r>
          </w:p>
        </w:tc>
        <w:tc>
          <w:tcPr>
            <w:tcW w:w="5500" w:type="dxa"/>
            <w:shd w:fill="D9EAF7"/>
          </w:tcPr>
          <w:p>
            <w:pPr>
              <w:pStyle w:val="TableHeader"/>
              <w:spacing w:after="0"/>
            </w:pPr>
            <w:r>
              <w:t xml:space="preserve">Uso previsto</w:t>
            </w:r>
          </w:p>
        </w:tc>
      </w:tr>
      <w:tr>
        <w:tc>
          <w:tcPr>
            <w:tcW w:w="3700" w:type="dxa"/>
          </w:tcPr>
          <w:p>
            <w:pPr>
              <w:pStyle w:val="TableText"/>
              <w:spacing w:after="0"/>
            </w:pPr>
            <w:r>
              <w:t xml:space="preserve">ojdbc8.jar</w:t>
            </w:r>
          </w:p>
        </w:tc>
        <w:tc>
          <w:tcPr>
            <w:tcW w:w="5500" w:type="dxa"/>
          </w:tcPr>
          <w:p>
            <w:pPr>
              <w:pStyle w:val="TableText"/>
              <w:spacing w:after="0"/>
            </w:pPr>
            <w:r>
              <w:t xml:space="preserve">Driver JDBC Oracle usato dal default runtime.</w:t>
            </w:r>
          </w:p>
        </w:tc>
      </w:tr>
      <w:tr>
        <w:tc>
          <w:tcPr>
            <w:tcW w:w="3700" w:type="dxa"/>
          </w:tcPr>
          <w:p>
            <w:pPr>
              <w:pStyle w:val="TableText"/>
              <w:spacing w:after="0"/>
            </w:pPr>
            <w:r>
              <w:t xml:space="preserve">commons-codec-1.10.jar</w:t>
            </w:r>
          </w:p>
        </w:tc>
        <w:tc>
          <w:tcPr>
            <w:tcW w:w="5500" w:type="dxa"/>
          </w:tcPr>
          <w:p>
            <w:pPr>
              <w:pStyle w:val="TableText"/>
              <w:spacing w:after="0"/>
            </w:pPr>
            <w:r>
              <w:t xml:space="preserve">Dipendenza inclusa nel classpath NetBeans.</w:t>
            </w:r>
          </w:p>
        </w:tc>
      </w:tr>
      <w:tr>
        <w:tc>
          <w:tcPr>
            <w:tcW w:w="3700" w:type="dxa"/>
          </w:tcPr>
          <w:p>
            <w:pPr>
              <w:pStyle w:val="TableText"/>
              <w:spacing w:after="0"/>
            </w:pPr>
            <w:r>
              <w:t xml:space="preserve">gestioneDB.jar</w:t>
            </w:r>
          </w:p>
        </w:tc>
        <w:tc>
          <w:tcPr>
            <w:tcW w:w="5500" w:type="dxa"/>
          </w:tcPr>
          <w:p>
            <w:pPr>
              <w:pStyle w:val="TableText"/>
              <w:spacing w:after="0"/>
            </w:pPr>
            <w:r>
              <w:t xml:space="preserve">Libreria applicativa aziendale disponibile nel progetto.</w:t>
            </w:r>
          </w:p>
        </w:tc>
      </w:tr>
      <w:tr>
        <w:tc>
          <w:tcPr>
            <w:tcW w:w="3700" w:type="dxa"/>
          </w:tcPr>
          <w:p>
            <w:pPr>
              <w:pStyle w:val="TableText"/>
              <w:spacing w:after="0"/>
            </w:pPr>
            <w:r>
              <w:t xml:space="preserve">tp-base.jar</w:t>
            </w:r>
          </w:p>
        </w:tc>
        <w:tc>
          <w:tcPr>
            <w:tcW w:w="5500" w:type="dxa"/>
          </w:tcPr>
          <w:p>
            <w:pPr>
              <w:pStyle w:val="TableText"/>
              <w:spacing w:after="0"/>
            </w:pPr>
            <w:r>
              <w:t xml:space="preserve">Libreria applicativa aziendale disponibile nel progetto.</w:t>
            </w:r>
          </w:p>
        </w:tc>
      </w:tr>
      <w:tr>
        <w:tc>
          <w:tcPr>
            <w:tcW w:w="3700" w:type="dxa"/>
          </w:tcPr>
          <w:p>
            <w:pPr>
              <w:pStyle w:val="TableText"/>
              <w:spacing w:after="0"/>
            </w:pPr>
            <w:r>
              <w:t xml:space="preserve">mssql-jdbc-9.2.0.jre8.jar / mssql-jdbc-9.4.0.jre8.jar</w:t>
            </w:r>
          </w:p>
        </w:tc>
        <w:tc>
          <w:tcPr>
            <w:tcW w:w="5500" w:type="dxa"/>
          </w:tcPr>
          <w:p>
            <w:pPr>
              <w:pStyle w:val="TableText"/>
              <w:spacing w:after="0"/>
            </w:pPr>
            <w:r>
              <w:t xml:space="preserve">Driver SQL Server presenti nel progetto ma non usati dal flusso Oracle di default.</w:t>
            </w:r>
          </w:p>
        </w:tc>
      </w:tr>
    </w:tbl>
    <w:p>
      <w:pPr>
        <w:pStyle w:val="Heading2"/>
        <w:spacing w:after="120"/>
      </w:pPr>
      <w:r>
        <w:t xml:space="preserve">5.3 Flussi di comunicazione</w:t>
      </w:r>
    </w:p>
    <w:p>
      <w:r>
        <w:t xml:space="preserve">I flussi principali sono tre: database, rete verso endpoint Gallery e servizio mail. La mancata raggiungibilita di un endpoint e un esito applicativo atteso e viene gestita per singola riga; gli errori SQL sono invece considerati bloccanti per l'intera esecuzione.</w:t>
      </w:r>
    </w:p>
    <w:p>
      <w:pPr>
        <w:pStyle w:val="Heading1"/>
        <w:spacing w:after="120"/>
      </w:pPr>
      <w:r>
        <w:t xml:space="preserve">6. Funzionamento applicativo</w:t>
      </w:r>
    </w:p>
    <w:p>
      <w:pPr>
        <w:pStyle w:val="Heading2"/>
        <w:spacing w:after="120"/>
      </w:pPr>
      <w:r>
        <w:t xml:space="preserve">6.1 Avvio e lettura parametri</w:t>
      </w:r>
    </w:p>
    <w:p>
      <w:r>
        <w:t xml:space="preserve">L'applicazione accetta parametri nel formato --chiave=valore. Con --help o -h stampa l'elenco delle opzioni supportate e termina senza eseguire controlli. Parametri senza prefisso -- o senza separatore = sono considerati non validi e producono uscita con codice 2.</w:t>
      </w:r>
    </w:p>
    <w:p>
      <w:pPr>
        <w:pStyle w:val="Code"/>
        <w:spacing w:after="0"/>
      </w:pPr>
      <w:r>
        <w:t xml:space="preserve">java -jar TopSentinelMailGallery.jar</w:t>
      </w:r>
    </w:p>
    <w:p>
      <w:pPr>
        <w:pStyle w:val="Code"/>
        <w:spacing w:after="0"/>
      </w:pPr>
      <w:r>
        <w:t xml:space="preserve">java -jar TopSentinelMailGallery.jar --timeout-ms=3000</w:t>
      </w:r>
    </w:p>
    <w:p>
      <w:pPr>
        <w:pStyle w:val="Code"/>
        <w:spacing w:after="0"/>
      </w:pPr>
      <w:r>
        <w:t xml:space="preserve">java -jar TopSentinelMailGallery.jar --db-url=... --db-user=... --db-password=...</w:t>
      </w:r>
    </w:p>
    <w:p>
      <w:pPr>
        <w:pStyle w:val="Heading2"/>
        <w:spacing w:after="120"/>
      </w:pPr>
      <w:r>
        <w:t xml:space="preserve">6.2 Connessione database</w:t>
      </w:r>
    </w:p>
    <w:p>
      <w:r>
        <w:t xml:space="preserve">La classe DataService tenta prima un lookup JNDI solo se viene fornito un nome JNDI; nel flusso attuale il job principale passa null, quindi viene usata la connessione JDBC diretta tramite DriverManager. Il driver Oracle viene caricato con Class.forName prima dell'apertura connessione.</w:t>
      </w:r>
    </w:p>
    <w:p>
      <w:pPr>
        <w:pStyle w:val="Heading2"/>
        <w:spacing w:after="120"/>
      </w:pPr>
      <w:r>
        <w:t xml:space="preserve">6.3 Lettura endpoint</w:t>
      </w:r>
    </w:p>
    <w:p>
      <w:r>
        <w:t xml:space="preserve">La query di lettura recupera tutte le righe della tabella TOPSENTINEL_ENDPOINT. Per ogni riga vengono usati ID, ENDPOINT, PORTA e ATTIVO. Il valore ATTIVO precedente e necessario per decidere se l'indisponibilita rappresenta un cambio stato da attivo a non attivo.</w:t>
      </w:r>
    </w:p>
    <w:p>
      <w:pPr>
        <w:pStyle w:val="Code"/>
        <w:spacing w:after="0"/>
      </w:pPr>
      <w:r>
        <w:t xml:space="preserve">SELECT *</w:t>
      </w:r>
    </w:p>
    <w:p>
      <w:pPr>
        <w:pStyle w:val="Code"/>
        <w:spacing w:after="0"/>
      </w:pPr>
      <w:r>
        <w:t xml:space="preserve">FROM TOPSENTINEL_ENDPOINT</w:t>
      </w:r>
    </w:p>
    <w:p>
      <w:pPr>
        <w:pStyle w:val="Heading2"/>
        <w:spacing w:after="120"/>
      </w:pPr>
      <w:r>
        <w:t xml:space="preserve">6.4 Verifica raggiungibilita</w:t>
      </w:r>
    </w:p>
    <w:p>
      <w:r>
        <w:t xml:space="preserve">L'host viene normalizzato prima del controllo: se ENDPOINT contiene uno schema URL viene estratto l'host; eventuali path vengono rimossi; nel caso host:porta viene mantenuta solo la parte host; gli indirizzi IPv6 racchiusi tra parentesi quadre vengono ripuliti.</w:t>
      </w:r>
    </w:p>
    <w:p>
      <w:r>
        <w:t xml:space="preserve">La verifica avviene aprendo un Socket verso host e porta con timeout configurabile. Una connessione riuscita produce stato RAGGIUNGIBILE; IOException, porta non valida o host vuoto producono stato NON RAGGIUNGIBILE con dettaglio in log.</w:t>
      </w:r>
    </w:p>
    <w:p>
      <w:pPr>
        <w:pStyle w:val="Heading2"/>
        <w:spacing w:after="120"/>
      </w:pPr>
      <w:r>
        <w:t xml:space="preserve">6.5 Aggiornamento stato</w:t>
      </w:r>
    </w:p>
    <w:p>
      <w:r>
        <w:t xml:space="preserve">Per ogni endpoint viene eseguito un update parametrico. LAST_UPDATE viene sempre aggiornato a SYSDATE; ULTIMA_VOLTA_RAGGIUNGIBILE viene aggiornata solo quando l'esito corrente e raggiungibile.</w:t>
      </w:r>
    </w:p>
    <w:p>
      <w:pPr>
        <w:pStyle w:val="Code"/>
        <w:spacing w:after="0"/>
      </w:pPr>
      <w:r>
        <w:t xml:space="preserve">UPDATE TOPSENTINEL_ENDPOINT</w:t>
      </w:r>
    </w:p>
    <w:p>
      <w:pPr>
        <w:pStyle w:val="Code"/>
        <w:spacing w:after="0"/>
      </w:pPr>
      <w:r>
        <w:t xml:space="preserve">SET ATTIVO = ?,</w:t>
      </w:r>
    </w:p>
    <w:p>
      <w:pPr>
        <w:pStyle w:val="Code"/>
        <w:spacing w:after="0"/>
      </w:pPr>
      <w:r>
        <w:t xml:space="preserve">    LAST_UPDATE = SYSDATE,</w:t>
      </w:r>
    </w:p>
    <w:p>
      <w:pPr>
        <w:pStyle w:val="Code"/>
        <w:spacing w:after="0"/>
      </w:pPr>
      <w:r>
        <w:t xml:space="preserve">    ULTIMA_VOLTA_RAGGIUNGIBILE = CASE</w:t>
      </w:r>
    </w:p>
    <w:p>
      <w:pPr>
        <w:pStyle w:val="Code"/>
        <w:spacing w:after="0"/>
      </w:pPr>
      <w:r>
        <w:t xml:space="preserve">        WHEN ? = 1 THEN SYSDATE</w:t>
      </w:r>
    </w:p>
    <w:p>
      <w:pPr>
        <w:pStyle w:val="Code"/>
        <w:spacing w:after="0"/>
      </w:pPr>
      <w:r>
        <w:t xml:space="preserve">        ELSE ULTIMA_VOLTA_RAGGIUNGIBILE</w:t>
      </w:r>
    </w:p>
    <w:p>
      <w:pPr>
        <w:pStyle w:val="Code"/>
        <w:spacing w:after="0"/>
      </w:pPr>
      <w:r>
        <w:t xml:space="preserve">    END</w:t>
      </w:r>
    </w:p>
    <w:p>
      <w:pPr>
        <w:pStyle w:val="Code"/>
        <w:spacing w:after="0"/>
      </w:pPr>
      <w:r>
        <w:t xml:space="preserve">WHERE ID = ?</w:t>
      </w:r>
    </w:p>
    <w:p>
      <w:pPr>
        <w:pStyle w:val="Heading2"/>
        <w:spacing w:after="120"/>
      </w:pPr>
      <w:r>
        <w:t xml:space="preserve">6.6 Politica alert mail</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3600"/>
        <w:gridCol w:w="2400"/>
        <w:gridCol w:w="3200"/>
      </w:tblGrid>
      <w:tr>
        <w:tc>
          <w:tcPr>
            <w:tcW w:w="3600" w:type="dxa"/>
            <w:shd w:fill="D9EAF7"/>
          </w:tcPr>
          <w:p>
            <w:pPr>
              <w:pStyle w:val="TableHeader"/>
              <w:spacing w:after="0"/>
            </w:pPr>
            <w:r>
              <w:t xml:space="preserve">Condizione</w:t>
            </w:r>
          </w:p>
        </w:tc>
        <w:tc>
          <w:tcPr>
            <w:tcW w:w="2400" w:type="dxa"/>
            <w:shd w:fill="D9EAF7"/>
          </w:tcPr>
          <w:p>
            <w:pPr>
              <w:pStyle w:val="TableHeader"/>
              <w:spacing w:after="0"/>
            </w:pPr>
            <w:r>
              <w:t xml:space="preserve">Azione mail</w:t>
            </w:r>
          </w:p>
        </w:tc>
        <w:tc>
          <w:tcPr>
            <w:tcW w:w="3200" w:type="dxa"/>
            <w:shd w:fill="D9EAF7"/>
          </w:tcPr>
          <w:p>
            <w:pPr>
              <w:pStyle w:val="TableHeader"/>
              <w:spacing w:after="0"/>
            </w:pPr>
            <w:r>
              <w:t xml:space="preserve">Motivo registrato</w:t>
            </w:r>
          </w:p>
        </w:tc>
      </w:tr>
      <w:tr>
        <w:tc>
          <w:tcPr>
            <w:tcW w:w="3600" w:type="dxa"/>
          </w:tcPr>
          <w:p>
            <w:pPr>
              <w:pStyle w:val="TableText"/>
              <w:spacing w:after="0"/>
            </w:pPr>
            <w:r>
              <w:t xml:space="preserve">Endpoint raggiungibile</w:t>
            </w:r>
          </w:p>
        </w:tc>
        <w:tc>
          <w:tcPr>
            <w:tcW w:w="2400" w:type="dxa"/>
          </w:tcPr>
          <w:p>
            <w:pPr>
              <w:pStyle w:val="TableText"/>
              <w:spacing w:after="0"/>
            </w:pPr>
            <w:r>
              <w:t xml:space="preserve">Nessun invio</w:t>
            </w:r>
          </w:p>
        </w:tc>
        <w:tc>
          <w:tcPr>
            <w:tcW w:w="3200" w:type="dxa"/>
          </w:tcPr>
          <w:p>
            <w:pPr>
              <w:pStyle w:val="TableText"/>
              <w:spacing w:after="0"/>
            </w:pPr>
            <w:r>
              <w:t xml:space="preserve">NO</w:t>
            </w:r>
          </w:p>
        </w:tc>
      </w:tr>
      <w:tr>
        <w:tc>
          <w:tcPr>
            <w:tcW w:w="3600" w:type="dxa"/>
          </w:tcPr>
          <w:p>
            <w:pPr>
              <w:pStyle w:val="TableText"/>
              <w:spacing w:after="0"/>
            </w:pPr>
            <w:r>
              <w:t xml:space="preserve">Endpoint non raggiungibile e ATTIVO precedente = 1</w:t>
            </w:r>
          </w:p>
        </w:tc>
        <w:tc>
          <w:tcPr>
            <w:tcW w:w="2400" w:type="dxa"/>
          </w:tcPr>
          <w:p>
            <w:pPr>
              <w:pStyle w:val="TableText"/>
              <w:spacing w:after="0"/>
            </w:pPr>
            <w:r>
              <w:t xml:space="preserve">Invio immediato</w:t>
            </w:r>
          </w:p>
        </w:tc>
        <w:tc>
          <w:tcPr>
            <w:tcW w:w="3200" w:type="dxa"/>
          </w:tcPr>
          <w:p>
            <w:pPr>
              <w:pStyle w:val="TableText"/>
              <w:spacing w:after="0"/>
            </w:pPr>
            <w:r>
              <w:t xml:space="preserve">CAMBIO_STATO_ATTIVO_1_A_0</w:t>
            </w:r>
          </w:p>
        </w:tc>
      </w:tr>
      <w:tr>
        <w:tc>
          <w:tcPr>
            <w:tcW w:w="3600" w:type="dxa"/>
          </w:tcPr>
          <w:p>
            <w:pPr>
              <w:pStyle w:val="TableText"/>
              <w:spacing w:after="0"/>
            </w:pPr>
            <w:r>
              <w:t xml:space="preserve">Endpoint non raggiungibile e minuto DB tra 1 e 9</w:t>
            </w:r>
          </w:p>
        </w:tc>
        <w:tc>
          <w:tcPr>
            <w:tcW w:w="2400" w:type="dxa"/>
          </w:tcPr>
          <w:p>
            <w:pPr>
              <w:pStyle w:val="TableText"/>
              <w:spacing w:after="0"/>
            </w:pPr>
            <w:r>
              <w:t xml:space="preserve">Invio promemoria</w:t>
            </w:r>
          </w:p>
        </w:tc>
        <w:tc>
          <w:tcPr>
            <w:tcW w:w="3200" w:type="dxa"/>
          </w:tcPr>
          <w:p>
            <w:pPr>
              <w:pStyle w:val="TableText"/>
              <w:spacing w:after="0"/>
            </w:pPr>
            <w:r>
              <w:t xml:space="preserve">PROMEMORIA_MINUTO_&lt;minuto&gt;</w:t>
            </w:r>
          </w:p>
        </w:tc>
      </w:tr>
      <w:tr>
        <w:tc>
          <w:tcPr>
            <w:tcW w:w="3600" w:type="dxa"/>
          </w:tcPr>
          <w:p>
            <w:pPr>
              <w:pStyle w:val="TableText"/>
              <w:spacing w:after="0"/>
            </w:pPr>
            <w:r>
              <w:t xml:space="preserve">Endpoint non raggiungibile fuori finestra promemoria</w:t>
            </w:r>
          </w:p>
        </w:tc>
        <w:tc>
          <w:tcPr>
            <w:tcW w:w="2400" w:type="dxa"/>
          </w:tcPr>
          <w:p>
            <w:pPr>
              <w:pStyle w:val="TableText"/>
              <w:spacing w:after="0"/>
            </w:pPr>
            <w:r>
              <w:t xml:space="preserve">Nessun invio</w:t>
            </w:r>
          </w:p>
        </w:tc>
        <w:tc>
          <w:tcPr>
            <w:tcW w:w="3200" w:type="dxa"/>
          </w:tcPr>
          <w:p>
            <w:pPr>
              <w:pStyle w:val="TableText"/>
              <w:spacing w:after="0"/>
            </w:pPr>
            <w:r>
              <w:t xml:space="preserve">NO</w:t>
            </w:r>
          </w:p>
        </w:tc>
      </w:tr>
    </w:tbl>
    <w:p>
      <w:r>
        <w:t xml:space="preserve">La finestra promemoria e definita dalle costanti REMINDER_START_MINUTE = 1 e REMINDER_END_MINUTE = 9. La scelta usa il minuto di SYSDATE letto dal database.</w:t>
      </w:r>
    </w:p>
    <w:p>
      <w:pPr>
        <w:pStyle w:val="Heading2"/>
        <w:spacing w:after="120"/>
      </w:pPr>
      <w:r>
        <w:t xml:space="preserve">6.7 Logging invio mail</w:t>
      </w:r>
    </w:p>
    <w:p>
      <w:r>
        <w:t xml:space="preserve">Quando l'invio mail ha esito positivo, il corpo della mail viene normalizzato su singola riga e scritto in un file giornaliero nella cartella configurata. Il nome file segue il formato yyyyMMdd.txt e ogni riga riporta l'orario locale in formato HH:mm:ss.</w:t>
      </w:r>
    </w:p>
    <w:p>
      <w:pPr>
        <w:pStyle w:val="Heading2"/>
        <w:spacing w:after="120"/>
      </w:pPr>
      <w:r>
        <w:t xml:space="preserve">6.8 Chiusura del processo</w:t>
      </w:r>
    </w:p>
    <w:p>
      <w:r>
        <w:t xml:space="preserve">Al termine del ciclo il job stampa un riepilogo con endpoint raggiungibili, non raggiungibili, record aggiornati, mail inviate e mail non inviate. Gli errori SQL producono uscita con codice 1; gli errori di invio mail vengono registrati ma non interrompono l'elaborazione degli altri endpoint.</w:t>
      </w:r>
    </w:p>
    <w:p>
      <w:pPr>
        <w:pStyle w:val="Heading1"/>
        <w:spacing w:after="120"/>
      </w:pPr>
      <w:r>
        <w:t xml:space="preserve">7. Configurazione</w:t>
      </w:r>
    </w:p>
    <w:p>
      <w:pPr>
        <w:pStyle w:val="Heading2"/>
        <w:spacing w:after="120"/>
      </w:pPr>
      <w:r>
        <w:t xml:space="preserve">7.1 Parametri CLI</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2300"/>
        <w:gridCol w:w="6900"/>
      </w:tblGrid>
      <w:tr>
        <w:tc>
          <w:tcPr>
            <w:tcW w:w="2300" w:type="dxa"/>
            <w:shd w:fill="D9EAF7"/>
          </w:tcPr>
          <w:p>
            <w:pPr>
              <w:pStyle w:val="TableHeader"/>
              <w:spacing w:after="0"/>
            </w:pPr>
            <w:r>
              <w:t xml:space="preserve">Parametro</w:t>
            </w:r>
          </w:p>
        </w:tc>
        <w:tc>
          <w:tcPr>
            <w:tcW w:w="6900" w:type="dxa"/>
            <w:shd w:fill="D9EAF7"/>
          </w:tcPr>
          <w:p>
            <w:pPr>
              <w:pStyle w:val="TableHeader"/>
              <w:spacing w:after="0"/>
            </w:pPr>
            <w:r>
              <w:t xml:space="preserve">Descrizione</w:t>
            </w:r>
          </w:p>
        </w:tc>
      </w:tr>
      <w:tr>
        <w:tc>
          <w:tcPr>
            <w:tcW w:w="2300" w:type="dxa"/>
          </w:tcPr>
          <w:p>
            <w:pPr>
              <w:pStyle w:val="TableText"/>
              <w:spacing w:after="0"/>
            </w:pPr>
            <w:r>
              <w:t xml:space="preserve">--timeout-ms</w:t>
            </w:r>
          </w:p>
        </w:tc>
        <w:tc>
          <w:tcPr>
            <w:tcW w:w="6900" w:type="dxa"/>
          </w:tcPr>
          <w:p>
            <w:pPr>
              <w:pStyle w:val="TableText"/>
              <w:spacing w:after="0"/>
            </w:pPr>
            <w:r>
              <w:t xml:space="preserve">Timeout connessione socket verso endpoint Gallery, espresso in millisecondi. Deve essere maggiore di zero.</w:t>
            </w:r>
          </w:p>
        </w:tc>
      </w:tr>
      <w:tr>
        <w:tc>
          <w:tcPr>
            <w:tcW w:w="2300" w:type="dxa"/>
          </w:tcPr>
          <w:p>
            <w:pPr>
              <w:pStyle w:val="TableText"/>
              <w:spacing w:after="0"/>
            </w:pPr>
            <w:r>
              <w:t xml:space="preserve">--db-driver</w:t>
            </w:r>
          </w:p>
        </w:tc>
        <w:tc>
          <w:tcPr>
            <w:tcW w:w="6900" w:type="dxa"/>
          </w:tcPr>
          <w:p>
            <w:pPr>
              <w:pStyle w:val="TableText"/>
              <w:spacing w:after="0"/>
            </w:pPr>
            <w:r>
              <w:t xml:space="preserve">Classe driver JDBC da caricare. Default Oracle.</w:t>
            </w:r>
          </w:p>
        </w:tc>
      </w:tr>
      <w:tr>
        <w:tc>
          <w:tcPr>
            <w:tcW w:w="2300" w:type="dxa"/>
          </w:tcPr>
          <w:p>
            <w:pPr>
              <w:pStyle w:val="TableText"/>
              <w:spacing w:after="0"/>
            </w:pPr>
            <w:r>
              <w:t xml:space="preserve">--db-url</w:t>
            </w:r>
          </w:p>
        </w:tc>
        <w:tc>
          <w:tcPr>
            <w:tcW w:w="6900" w:type="dxa"/>
          </w:tcPr>
          <w:p>
            <w:pPr>
              <w:pStyle w:val="TableText"/>
              <w:spacing w:after="0"/>
            </w:pPr>
            <w:r>
              <w:t xml:space="preserve">URL JDBC del database.</w:t>
            </w:r>
          </w:p>
        </w:tc>
      </w:tr>
      <w:tr>
        <w:tc>
          <w:tcPr>
            <w:tcW w:w="2300" w:type="dxa"/>
          </w:tcPr>
          <w:p>
            <w:pPr>
              <w:pStyle w:val="TableText"/>
              <w:spacing w:after="0"/>
            </w:pPr>
            <w:r>
              <w:t xml:space="preserve">--db-user</w:t>
            </w:r>
          </w:p>
        </w:tc>
        <w:tc>
          <w:tcPr>
            <w:tcW w:w="6900" w:type="dxa"/>
          </w:tcPr>
          <w:p>
            <w:pPr>
              <w:pStyle w:val="TableText"/>
              <w:spacing w:after="0"/>
            </w:pPr>
            <w:r>
              <w:t xml:space="preserve">Utente database.</w:t>
            </w:r>
          </w:p>
        </w:tc>
      </w:tr>
      <w:tr>
        <w:tc>
          <w:tcPr>
            <w:tcW w:w="2300" w:type="dxa"/>
          </w:tcPr>
          <w:p>
            <w:pPr>
              <w:pStyle w:val="TableText"/>
              <w:spacing w:after="0"/>
            </w:pPr>
            <w:r>
              <w:t xml:space="preserve">--db-password</w:t>
            </w:r>
          </w:p>
        </w:tc>
        <w:tc>
          <w:tcPr>
            <w:tcW w:w="6900" w:type="dxa"/>
          </w:tcPr>
          <w:p>
            <w:pPr>
              <w:pStyle w:val="TableText"/>
              <w:spacing w:after="0"/>
            </w:pPr>
            <w:r>
              <w:t xml:space="preserve">Password database. Dato riservato: non deve essere riportato in log o documenti operativi.</w:t>
            </w:r>
          </w:p>
        </w:tc>
      </w:tr>
      <w:tr>
        <w:tc>
          <w:tcPr>
            <w:tcW w:w="2300" w:type="dxa"/>
          </w:tcPr>
          <w:p>
            <w:pPr>
              <w:pStyle w:val="TableText"/>
              <w:spacing w:after="0"/>
            </w:pPr>
            <w:r>
              <w:t xml:space="preserve">--mail-endpoint</w:t>
            </w:r>
          </w:p>
        </w:tc>
        <w:tc>
          <w:tcPr>
            <w:tcW w:w="6900" w:type="dxa"/>
          </w:tcPr>
          <w:p>
            <w:pPr>
              <w:pStyle w:val="TableText"/>
              <w:spacing w:after="0"/>
            </w:pPr>
            <w:r>
              <w:t xml:space="preserve">URL del servizio SOAP TopMail.asmx.</w:t>
            </w:r>
          </w:p>
        </w:tc>
      </w:tr>
      <w:tr>
        <w:tc>
          <w:tcPr>
            <w:tcW w:w="2300" w:type="dxa"/>
          </w:tcPr>
          <w:p>
            <w:pPr>
              <w:pStyle w:val="TableText"/>
              <w:spacing w:after="0"/>
            </w:pPr>
            <w:r>
              <w:t xml:space="preserve">--mail-log-dir</w:t>
            </w:r>
          </w:p>
        </w:tc>
        <w:tc>
          <w:tcPr>
            <w:tcW w:w="6900" w:type="dxa"/>
          </w:tcPr>
          <w:p>
            <w:pPr>
              <w:pStyle w:val="TableText"/>
              <w:spacing w:after="0"/>
            </w:pPr>
            <w:r>
              <w:t xml:space="preserve">Cartella in cui scrivere il log giornaliero degli invii mail.</w:t>
            </w:r>
          </w:p>
        </w:tc>
      </w:tr>
    </w:tbl>
    <w:p>
      <w:pPr>
        <w:pStyle w:val="Heading2"/>
        <w:spacing w:after="120"/>
      </w:pPr>
      <w:r>
        <w:t xml:space="preserve">7.2 Valori di default</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2600"/>
        <w:gridCol w:w="6600"/>
      </w:tblGrid>
      <w:tr>
        <w:tc>
          <w:tcPr>
            <w:tcW w:w="2600" w:type="dxa"/>
            <w:shd w:fill="D9EAF7"/>
          </w:tcPr>
          <w:p>
            <w:pPr>
              <w:pStyle w:val="TableHeader"/>
              <w:spacing w:after="0"/>
            </w:pPr>
            <w:r>
              <w:t xml:space="preserve">Chiave</w:t>
            </w:r>
          </w:p>
        </w:tc>
        <w:tc>
          <w:tcPr>
            <w:tcW w:w="6600" w:type="dxa"/>
            <w:shd w:fill="D9EAF7"/>
          </w:tcPr>
          <w:p>
            <w:pPr>
              <w:pStyle w:val="TableHeader"/>
              <w:spacing w:after="0"/>
            </w:pPr>
            <w:r>
              <w:t xml:space="preserve">Valore default</w:t>
            </w:r>
          </w:p>
        </w:tc>
      </w:tr>
      <w:tr>
        <w:tc>
          <w:tcPr>
            <w:tcW w:w="2600" w:type="dxa"/>
          </w:tcPr>
          <w:p>
            <w:pPr>
              <w:pStyle w:val="TableText"/>
              <w:spacing w:after="0"/>
            </w:pPr>
            <w:r>
              <w:t xml:space="preserve">db-driver</w:t>
            </w:r>
          </w:p>
        </w:tc>
        <w:tc>
          <w:tcPr>
            <w:tcW w:w="6600" w:type="dxa"/>
          </w:tcPr>
          <w:p>
            <w:pPr>
              <w:pStyle w:val="TableText"/>
              <w:spacing w:after="0"/>
            </w:pPr>
            <w:r>
              <w:t xml:space="preserve">oracle.jdbc.driver.OracleDriver</w:t>
            </w:r>
          </w:p>
        </w:tc>
      </w:tr>
      <w:tr>
        <w:tc>
          <w:tcPr>
            <w:tcW w:w="2600" w:type="dxa"/>
          </w:tcPr>
          <w:p>
            <w:pPr>
              <w:pStyle w:val="TableText"/>
              <w:spacing w:after="0"/>
            </w:pPr>
            <w:r>
              <w:t xml:space="preserve">db-url</w:t>
            </w:r>
          </w:p>
        </w:tc>
        <w:tc>
          <w:tcPr>
            <w:tcW w:w="6600" w:type="dxa"/>
          </w:tcPr>
          <w:p>
            <w:pPr>
              <w:pStyle w:val="TableText"/>
              <w:spacing w:after="0"/>
            </w:pPr>
            <w:r>
              <w:t xml:space="preserve">jdbc:oracle:thin:@topgate1_sfe:1534/TOPGATE1</w:t>
            </w:r>
          </w:p>
        </w:tc>
      </w:tr>
      <w:tr>
        <w:tc>
          <w:tcPr>
            <w:tcW w:w="2600" w:type="dxa"/>
          </w:tcPr>
          <w:p>
            <w:pPr>
              <w:pStyle w:val="TableText"/>
              <w:spacing w:after="0"/>
            </w:pPr>
            <w:r>
              <w:t xml:space="preserve">db-user</w:t>
            </w:r>
          </w:p>
        </w:tc>
        <w:tc>
          <w:tcPr>
            <w:tcW w:w="6600" w:type="dxa"/>
          </w:tcPr>
          <w:p>
            <w:pPr>
              <w:pStyle w:val="TableText"/>
              <w:spacing w:after="0"/>
            </w:pPr>
            <w:r>
              <w:t xml:space="preserve">TOPDBF</w:t>
            </w:r>
          </w:p>
        </w:tc>
      </w:tr>
      <w:tr>
        <w:tc>
          <w:tcPr>
            <w:tcW w:w="2600" w:type="dxa"/>
          </w:tcPr>
          <w:p>
            <w:pPr>
              <w:pStyle w:val="TableText"/>
              <w:spacing w:after="0"/>
            </w:pPr>
            <w:r>
              <w:t xml:space="preserve">db-password</w:t>
            </w:r>
          </w:p>
        </w:tc>
        <w:tc>
          <w:tcPr>
            <w:tcW w:w="6600" w:type="dxa"/>
          </w:tcPr>
          <w:p>
            <w:pPr>
              <w:pStyle w:val="TableText"/>
              <w:spacing w:after="0"/>
            </w:pPr>
            <w:r>
              <w:t xml:space="preserve">&lt;mascherata&gt;</w:t>
            </w:r>
          </w:p>
        </w:tc>
      </w:tr>
      <w:tr>
        <w:tc>
          <w:tcPr>
            <w:tcW w:w="2600" w:type="dxa"/>
          </w:tcPr>
          <w:p>
            <w:pPr>
              <w:pStyle w:val="TableText"/>
              <w:spacing w:after="0"/>
            </w:pPr>
            <w:r>
              <w:t xml:space="preserve">timeout-ms</w:t>
            </w:r>
          </w:p>
        </w:tc>
        <w:tc>
          <w:tcPr>
            <w:tcW w:w="6600" w:type="dxa"/>
          </w:tcPr>
          <w:p>
            <w:pPr>
              <w:pStyle w:val="TableText"/>
              <w:spacing w:after="0"/>
            </w:pPr>
            <w:r>
              <w:t xml:space="preserve">5000</w:t>
            </w:r>
          </w:p>
        </w:tc>
      </w:tr>
      <w:tr>
        <w:tc>
          <w:tcPr>
            <w:tcW w:w="2600" w:type="dxa"/>
          </w:tcPr>
          <w:p>
            <w:pPr>
              <w:pStyle w:val="TableText"/>
              <w:spacing w:after="0"/>
            </w:pPr>
            <w:r>
              <w:t xml:space="preserve">mail-endpoint</w:t>
            </w:r>
          </w:p>
        </w:tc>
        <w:tc>
          <w:tcPr>
            <w:tcW w:w="6600" w:type="dxa"/>
          </w:tcPr>
          <w:p>
            <w:pPr>
              <w:pStyle w:val="TableText"/>
              <w:spacing w:after="0"/>
            </w:pPr>
            <w:r>
              <w:t xml:space="preserve">http://topmail:9096/TopMail.asmx</w:t>
            </w:r>
          </w:p>
        </w:tc>
      </w:tr>
      <w:tr>
        <w:tc>
          <w:tcPr>
            <w:tcW w:w="2600" w:type="dxa"/>
          </w:tcPr>
          <w:p>
            <w:pPr>
              <w:pStyle w:val="TableText"/>
              <w:spacing w:after="0"/>
            </w:pPr>
            <w:r>
              <w:t xml:space="preserve">mail-log-dir</w:t>
            </w:r>
          </w:p>
        </w:tc>
        <w:tc>
          <w:tcPr>
            <w:tcW w:w="6600" w:type="dxa"/>
          </w:tcPr>
          <w:p>
            <w:pPr>
              <w:pStyle w:val="TableText"/>
              <w:spacing w:after="0"/>
            </w:pPr>
            <w:r>
              <w:t xml:space="preserve">\\\\pvtopesb\\e$\\TopSentinelMailGallery\\logs</w:t>
            </w:r>
          </w:p>
        </w:tc>
      </w:tr>
    </w:tbl>
    <w:p>
      <w:pPr>
        <w:pStyle w:val="Heading2"/>
        <w:spacing w:after="120"/>
      </w:pPr>
      <w:r>
        <w:t xml:space="preserve">7.3 Override schedulazione</w:t>
      </w:r>
    </w:p>
    <w:p>
      <w:r>
        <w:t xml:space="preserve">Gli override possono essere aggiunti agli argomenti del task schedulato o passati direttamente al batch. Il batch inoltra tutti gli argomenti ricevuti al JAR.</w:t>
      </w:r>
    </w:p>
    <w:p>
      <w:pPr>
        <w:pStyle w:val="Code"/>
        <w:spacing w:after="0"/>
      </w:pPr>
      <w:r>
        <w:t xml:space="preserve">Program/script:</w:t>
      </w:r>
    </w:p>
    <w:p>
      <w:pPr>
        <w:pStyle w:val="Code"/>
        <w:spacing w:after="0"/>
      </w:pPr>
      <w:r>
        <w:t xml:space="preserve">  C:\\Batch\\TopSentinelMailGallery\\run-topsentinel-mail-gallery.cmd</w:t>
      </w:r>
    </w:p>
    <w:p>
      <w:pPr>
        <w:pStyle w:val="Code"/>
        <w:spacing w:after="0"/>
      </w:pPr>
    </w:p>
    <w:p>
      <w:pPr>
        <w:pStyle w:val="Code"/>
        <w:spacing w:after="0"/>
      </w:pPr>
      <w:r>
        <w:t xml:space="preserve">Start in:</w:t>
      </w:r>
    </w:p>
    <w:p>
      <w:pPr>
        <w:pStyle w:val="Code"/>
        <w:spacing w:after="0"/>
      </w:pPr>
      <w:r>
        <w:t xml:space="preserve">  C:\\Batch\\TopSentinelMailGallery</w:t>
      </w:r>
    </w:p>
    <w:p>
      <w:pPr>
        <w:pStyle w:val="Code"/>
        <w:spacing w:after="0"/>
      </w:pPr>
    </w:p>
    <w:p>
      <w:pPr>
        <w:pStyle w:val="Code"/>
        <w:spacing w:after="0"/>
      </w:pPr>
      <w:r>
        <w:t xml:space="preserve">Arguments:</w:t>
      </w:r>
    </w:p>
    <w:p>
      <w:pPr>
        <w:pStyle w:val="Code"/>
        <w:spacing w:after="0"/>
      </w:pPr>
      <w:r>
        <w:t xml:space="preserve">  --timeout-ms=5000 --db-url=jdbc:oracle:thin:@HOST:PORT/SERVICE --db-user=USER --db-password=PASSWORD --mail-endpoint=http://topmail:9096/TopMail.asmx</w:t>
      </w:r>
    </w:p>
    <w:p>
      <w:pPr>
        <w:pStyle w:val="Heading2"/>
        <w:spacing w:after="120"/>
      </w:pPr>
      <w:r>
        <w:t xml:space="preserve">7.4 Database e tabella TOPSENTINEL_ENDPOINT</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3000"/>
        <w:gridCol w:w="6200"/>
      </w:tblGrid>
      <w:tr>
        <w:tc>
          <w:tcPr>
            <w:tcW w:w="3000" w:type="dxa"/>
            <w:shd w:fill="D9EAF7"/>
          </w:tcPr>
          <w:p>
            <w:pPr>
              <w:pStyle w:val="TableHeader"/>
              <w:spacing w:after="0"/>
            </w:pPr>
            <w:r>
              <w:t xml:space="preserve">Campo</w:t>
            </w:r>
          </w:p>
        </w:tc>
        <w:tc>
          <w:tcPr>
            <w:tcW w:w="6200" w:type="dxa"/>
            <w:shd w:fill="D9EAF7"/>
          </w:tcPr>
          <w:p>
            <w:pPr>
              <w:pStyle w:val="TableHeader"/>
              <w:spacing w:after="0"/>
            </w:pPr>
            <w:r>
              <w:t xml:space="preserve">Uso applicativo</w:t>
            </w:r>
          </w:p>
        </w:tc>
      </w:tr>
      <w:tr>
        <w:tc>
          <w:tcPr>
            <w:tcW w:w="3000" w:type="dxa"/>
          </w:tcPr>
          <w:p>
            <w:pPr>
              <w:pStyle w:val="TableText"/>
              <w:spacing w:after="0"/>
            </w:pPr>
            <w:r>
              <w:t xml:space="preserve">ID</w:t>
            </w:r>
          </w:p>
        </w:tc>
        <w:tc>
          <w:tcPr>
            <w:tcW w:w="6200" w:type="dxa"/>
          </w:tcPr>
          <w:p>
            <w:pPr>
              <w:pStyle w:val="TableText"/>
              <w:spacing w:after="0"/>
            </w:pPr>
            <w:r>
              <w:t xml:space="preserve">Identificativo tecnico della riga, usato nella clausola WHERE dell'update.</w:t>
            </w:r>
          </w:p>
        </w:tc>
      </w:tr>
      <w:tr>
        <w:tc>
          <w:tcPr>
            <w:tcW w:w="3000" w:type="dxa"/>
          </w:tcPr>
          <w:p>
            <w:pPr>
              <w:pStyle w:val="TableText"/>
              <w:spacing w:after="0"/>
            </w:pPr>
            <w:r>
              <w:t xml:space="preserve">ENDPOINT</w:t>
            </w:r>
          </w:p>
        </w:tc>
        <w:tc>
          <w:tcPr>
            <w:tcW w:w="6200" w:type="dxa"/>
          </w:tcPr>
          <w:p>
            <w:pPr>
              <w:pStyle w:val="TableText"/>
              <w:spacing w:after="0"/>
            </w:pPr>
            <w:r>
              <w:t xml:space="preserve">Host o URL dell'endpoint Gallery da controllare.</w:t>
            </w:r>
          </w:p>
        </w:tc>
      </w:tr>
      <w:tr>
        <w:tc>
          <w:tcPr>
            <w:tcW w:w="3000" w:type="dxa"/>
          </w:tcPr>
          <w:p>
            <w:pPr>
              <w:pStyle w:val="TableText"/>
              <w:spacing w:after="0"/>
            </w:pPr>
            <w:r>
              <w:t xml:space="preserve">PORTA</w:t>
            </w:r>
          </w:p>
        </w:tc>
        <w:tc>
          <w:tcPr>
            <w:tcW w:w="6200" w:type="dxa"/>
          </w:tcPr>
          <w:p>
            <w:pPr>
              <w:pStyle w:val="TableText"/>
              <w:spacing w:after="0"/>
            </w:pPr>
            <w:r>
              <w:t xml:space="preserve">Porta TCP verso cui aprire la connessione socket.</w:t>
            </w:r>
          </w:p>
        </w:tc>
      </w:tr>
      <w:tr>
        <w:tc>
          <w:tcPr>
            <w:tcW w:w="3000" w:type="dxa"/>
          </w:tcPr>
          <w:p>
            <w:pPr>
              <w:pStyle w:val="TableText"/>
              <w:spacing w:after="0"/>
            </w:pPr>
            <w:r>
              <w:t xml:space="preserve">ATTIVO</w:t>
            </w:r>
          </w:p>
        </w:tc>
        <w:tc>
          <w:tcPr>
            <w:tcW w:w="6200" w:type="dxa"/>
          </w:tcPr>
          <w:p>
            <w:pPr>
              <w:pStyle w:val="TableText"/>
              <w:spacing w:after="0"/>
            </w:pPr>
            <w:r>
              <w:t xml:space="preserve">Stato precedente e corrente: 1 raggiungibile, 0 non raggiungibile.</w:t>
            </w:r>
          </w:p>
        </w:tc>
      </w:tr>
      <w:tr>
        <w:tc>
          <w:tcPr>
            <w:tcW w:w="3000" w:type="dxa"/>
          </w:tcPr>
          <w:p>
            <w:pPr>
              <w:pStyle w:val="TableText"/>
              <w:spacing w:after="0"/>
            </w:pPr>
            <w:r>
              <w:t xml:space="preserve">LAST_UPDATE</w:t>
            </w:r>
          </w:p>
        </w:tc>
        <w:tc>
          <w:tcPr>
            <w:tcW w:w="6200" w:type="dxa"/>
          </w:tcPr>
          <w:p>
            <w:pPr>
              <w:pStyle w:val="TableText"/>
              <w:spacing w:after="0"/>
            </w:pPr>
            <w:r>
              <w:t xml:space="preserve">Aggiornato a SYSDATE a ogni controllo.</w:t>
            </w:r>
          </w:p>
        </w:tc>
      </w:tr>
      <w:tr>
        <w:tc>
          <w:tcPr>
            <w:tcW w:w="3000" w:type="dxa"/>
          </w:tcPr>
          <w:p>
            <w:pPr>
              <w:pStyle w:val="TableText"/>
              <w:spacing w:after="0"/>
            </w:pPr>
            <w:r>
              <w:t xml:space="preserve">ULTIMA_VOLTA_RAGGIUNGIBILE</w:t>
            </w:r>
          </w:p>
        </w:tc>
        <w:tc>
          <w:tcPr>
            <w:tcW w:w="6200" w:type="dxa"/>
          </w:tcPr>
          <w:p>
            <w:pPr>
              <w:pStyle w:val="TableText"/>
              <w:spacing w:after="0"/>
            </w:pPr>
            <w:r>
              <w:t xml:space="preserve">Aggiornato a SYSDATE solo quando il controllo corrente e positivo.</w:t>
            </w:r>
          </w:p>
        </w:tc>
      </w:tr>
    </w:tbl>
    <w:p>
      <w:pPr>
        <w:pStyle w:val="Heading2"/>
        <w:spacing w:after="120"/>
      </w:pPr>
      <w:r>
        <w:t xml:space="preserve">7.5 Parametri email e logging</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3000"/>
        <w:gridCol w:w="6200"/>
      </w:tblGrid>
      <w:tr>
        <w:tc>
          <w:tcPr>
            <w:tcW w:w="3000" w:type="dxa"/>
            <w:shd w:fill="D9EAF7"/>
          </w:tcPr>
          <w:p>
            <w:pPr>
              <w:pStyle w:val="TableHeader"/>
              <w:spacing w:after="0"/>
            </w:pPr>
            <w:r>
              <w:t xml:space="preserve">Parametro interno</w:t>
            </w:r>
          </w:p>
        </w:tc>
        <w:tc>
          <w:tcPr>
            <w:tcW w:w="6200" w:type="dxa"/>
            <w:shd w:fill="D9EAF7"/>
          </w:tcPr>
          <w:p>
            <w:pPr>
              <w:pStyle w:val="TableHeader"/>
              <w:spacing w:after="0"/>
            </w:pPr>
            <w:r>
              <w:t xml:space="preserve">Valore / comportamento</w:t>
            </w:r>
          </w:p>
        </w:tc>
      </w:tr>
      <w:tr>
        <w:tc>
          <w:tcPr>
            <w:tcW w:w="3000" w:type="dxa"/>
          </w:tcPr>
          <w:p>
            <w:pPr>
              <w:pStyle w:val="TableText"/>
              <w:spacing w:after="0"/>
            </w:pPr>
            <w:r>
              <w:t xml:space="preserve">Mittente</w:t>
            </w:r>
          </w:p>
        </w:tc>
        <w:tc>
          <w:tcPr>
            <w:tcW w:w="6200" w:type="dxa"/>
          </w:tcPr>
          <w:p>
            <w:pPr>
              <w:pStyle w:val="TableText"/>
              <w:spacing w:after="0"/>
            </w:pPr>
            <w:r>
              <w:t xml:space="preserve">topsentinel@asl5.liguria.it</w:t>
            </w:r>
          </w:p>
        </w:tc>
      </w:tr>
      <w:tr>
        <w:tc>
          <w:tcPr>
            <w:tcW w:w="3000" w:type="dxa"/>
          </w:tcPr>
          <w:p>
            <w:pPr>
              <w:pStyle w:val="TableText"/>
              <w:spacing w:after="0"/>
            </w:pPr>
            <w:r>
              <w:t xml:space="preserve">Destinatario attivo</w:t>
            </w:r>
          </w:p>
        </w:tc>
        <w:tc>
          <w:tcPr>
            <w:tcW w:w="6200" w:type="dxa"/>
          </w:tcPr>
          <w:p>
            <w:pPr>
              <w:pStyle w:val="TableText"/>
              <w:spacing w:after="0"/>
            </w:pPr>
            <w:r>
              <w:t xml:space="preserve">manuel.manzotti@asl5.liguria.it</w:t>
            </w:r>
          </w:p>
        </w:tc>
      </w:tr>
      <w:tr>
        <w:tc>
          <w:tcPr>
            <w:tcW w:w="3000" w:type="dxa"/>
          </w:tcPr>
          <w:p>
            <w:pPr>
              <w:pStyle w:val="TableText"/>
              <w:spacing w:after="0"/>
            </w:pPr>
            <w:r>
              <w:t xml:space="preserve">CCN</w:t>
            </w:r>
          </w:p>
        </w:tc>
        <w:tc>
          <w:tcPr>
            <w:tcW w:w="6200" w:type="dxa"/>
          </w:tcPr>
          <w:p>
            <w:pPr>
              <w:pStyle w:val="TableText"/>
              <w:spacing w:after="0"/>
            </w:pPr>
            <w:r>
              <w:t xml:space="preserve">Vuoto</w:t>
            </w:r>
          </w:p>
        </w:tc>
      </w:tr>
      <w:tr>
        <w:tc>
          <w:tcPr>
            <w:tcW w:w="3000" w:type="dxa"/>
          </w:tcPr>
          <w:p>
            <w:pPr>
              <w:pStyle w:val="TableText"/>
              <w:spacing w:after="0"/>
            </w:pPr>
            <w:r>
              <w:t xml:space="preserve">Oggetto</w:t>
            </w:r>
          </w:p>
        </w:tc>
        <w:tc>
          <w:tcPr>
            <w:tcW w:w="6200" w:type="dxa"/>
          </w:tcPr>
          <w:p>
            <w:pPr>
              <w:pStyle w:val="TableText"/>
              <w:spacing w:after="0"/>
            </w:pPr>
            <w:r>
              <w:t xml:space="preserve">TopSentinel - Gallery non raggiungibile</w:t>
            </w:r>
          </w:p>
        </w:tc>
      </w:tr>
      <w:tr>
        <w:tc>
          <w:tcPr>
            <w:tcW w:w="3000" w:type="dxa"/>
          </w:tcPr>
          <w:p>
            <w:pPr>
              <w:pStyle w:val="TableText"/>
              <w:spacing w:after="0"/>
            </w:pPr>
            <w:r>
              <w:t xml:space="preserve">Corpo</w:t>
            </w:r>
          </w:p>
        </w:tc>
        <w:tc>
          <w:tcPr>
            <w:tcW w:w="6200" w:type="dxa"/>
          </w:tcPr>
          <w:p>
            <w:pPr>
              <w:pStyle w:val="TableText"/>
              <w:spacing w:after="0"/>
            </w:pPr>
            <w:r>
              <w:t xml:space="preserve">Messaggio sintetico di endpoint Gallery non raggiungibile</w:t>
            </w:r>
          </w:p>
        </w:tc>
      </w:tr>
      <w:tr>
        <w:tc>
          <w:tcPr>
            <w:tcW w:w="3000" w:type="dxa"/>
          </w:tcPr>
          <w:p>
            <w:pPr>
              <w:pStyle w:val="TableText"/>
              <w:spacing w:after="0"/>
            </w:pPr>
            <w:r>
              <w:t xml:space="preserve">Response log max</w:t>
            </w:r>
          </w:p>
        </w:tc>
        <w:tc>
          <w:tcPr>
            <w:tcW w:w="6200" w:type="dxa"/>
          </w:tcPr>
          <w:p>
            <w:pPr>
              <w:pStyle w:val="TableText"/>
              <w:spacing w:after="0"/>
            </w:pPr>
            <w:r>
              <w:t xml:space="preserve">500 caratteri in caso di invio mail non riuscito</w:t>
            </w:r>
          </w:p>
        </w:tc>
      </w:tr>
    </w:tbl>
    <w:p>
      <w:pPr>
        <w:pStyle w:val="Heading1"/>
        <w:spacing w:after="120"/>
      </w:pPr>
      <w:r>
        <w:t xml:space="preserve">8. Gestione errori e logging</w:t>
      </w:r>
    </w:p>
    <w:p>
      <w:r>
        <w:t xml:space="preserve">Il logging principale avviene su standard output e standard error. In esercizio il batch reindirizza entrambi nel file logs\\TopSentinelMailGallery.log sotto la cartella di distribuzione.</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3200"/>
        <w:gridCol w:w="6000"/>
      </w:tblGrid>
      <w:tr>
        <w:tc>
          <w:tcPr>
            <w:tcW w:w="3200" w:type="dxa"/>
            <w:shd w:fill="D9EAF7"/>
          </w:tcPr>
          <w:p>
            <w:pPr>
              <w:pStyle w:val="TableHeader"/>
              <w:spacing w:after="0"/>
            </w:pPr>
            <w:r>
              <w:t xml:space="preserve">Evento</w:t>
            </w:r>
          </w:p>
        </w:tc>
        <w:tc>
          <w:tcPr>
            <w:tcW w:w="6000" w:type="dxa"/>
            <w:shd w:fill="D9EAF7"/>
          </w:tcPr>
          <w:p>
            <w:pPr>
              <w:pStyle w:val="TableHeader"/>
              <w:spacing w:after="0"/>
            </w:pPr>
            <w:r>
              <w:t xml:space="preserve">Gestione</w:t>
            </w:r>
          </w:p>
        </w:tc>
      </w:tr>
      <w:tr>
        <w:tc>
          <w:tcPr>
            <w:tcW w:w="3200" w:type="dxa"/>
          </w:tcPr>
          <w:p>
            <w:pPr>
              <w:pStyle w:val="TableText"/>
              <w:spacing w:after="0"/>
            </w:pPr>
            <w:r>
              <w:t xml:space="preserve">Parametro non valido</w:t>
            </w:r>
          </w:p>
        </w:tc>
        <w:tc>
          <w:tcPr>
            <w:tcW w:w="6000" w:type="dxa"/>
          </w:tcPr>
          <w:p>
            <w:pPr>
              <w:pStyle w:val="TableText"/>
              <w:spacing w:after="0"/>
            </w:pPr>
            <w:r>
              <w:t xml:space="preserve">Messaggio su stderr, stampa usage, exit code 2.</w:t>
            </w:r>
          </w:p>
        </w:tc>
      </w:tr>
      <w:tr>
        <w:tc>
          <w:tcPr>
            <w:tcW w:w="3200" w:type="dxa"/>
          </w:tcPr>
          <w:p>
            <w:pPr>
              <w:pStyle w:val="TableText"/>
              <w:spacing w:after="0"/>
            </w:pPr>
            <w:r>
              <w:t xml:space="preserve">Errore connessione DB o query</w:t>
            </w:r>
          </w:p>
        </w:tc>
        <w:tc>
          <w:tcPr>
            <w:tcW w:w="6000" w:type="dxa"/>
          </w:tcPr>
          <w:p>
            <w:pPr>
              <w:pStyle w:val="TableText"/>
              <w:spacing w:after="0"/>
            </w:pPr>
            <w:r>
              <w:t xml:space="preserve">Stack trace su stderr, exit code 1.</w:t>
            </w:r>
          </w:p>
        </w:tc>
      </w:tr>
      <w:tr>
        <w:tc>
          <w:tcPr>
            <w:tcW w:w="3200" w:type="dxa"/>
          </w:tcPr>
          <w:p>
            <w:pPr>
              <w:pStyle w:val="TableText"/>
              <w:spacing w:after="0"/>
            </w:pPr>
            <w:r>
              <w:t xml:space="preserve">Endpoint non raggiungibile</w:t>
            </w:r>
          </w:p>
        </w:tc>
        <w:tc>
          <w:tcPr>
            <w:tcW w:w="6000" w:type="dxa"/>
          </w:tcPr>
          <w:p>
            <w:pPr>
              <w:pStyle w:val="TableText"/>
              <w:spacing w:after="0"/>
            </w:pPr>
            <w:r>
              <w:t xml:space="preserve">Esito gestito per singola riga, update ATTIVO=0, eventuale mail.</w:t>
            </w:r>
          </w:p>
        </w:tc>
      </w:tr>
      <w:tr>
        <w:tc>
          <w:tcPr>
            <w:tcW w:w="3200" w:type="dxa"/>
          </w:tcPr>
          <w:p>
            <w:pPr>
              <w:pStyle w:val="TableText"/>
              <w:spacing w:after="0"/>
            </w:pPr>
            <w:r>
              <w:t xml:space="preserve">Invio mail KO</w:t>
            </w:r>
          </w:p>
        </w:tc>
        <w:tc>
          <w:tcPr>
            <w:tcW w:w="6000" w:type="dxa"/>
          </w:tcPr>
          <w:p>
            <w:pPr>
              <w:pStyle w:val="TableText"/>
              <w:spacing w:after="0"/>
            </w:pPr>
            <w:r>
              <w:t xml:space="preserve">Errore su stderr con response abbreviata; il ciclo prosegue.</w:t>
            </w:r>
          </w:p>
        </w:tc>
      </w:tr>
      <w:tr>
        <w:tc>
          <w:tcPr>
            <w:tcW w:w="3200" w:type="dxa"/>
          </w:tcPr>
          <w:p>
            <w:pPr>
              <w:pStyle w:val="TableText"/>
              <w:spacing w:after="0"/>
            </w:pPr>
            <w:r>
              <w:t xml:space="preserve">Mail inviata ma log non scritto</w:t>
            </w:r>
          </w:p>
        </w:tc>
        <w:tc>
          <w:tcPr>
            <w:tcW w:w="6000" w:type="dxa"/>
          </w:tcPr>
          <w:p>
            <w:pPr>
              <w:pStyle w:val="TableText"/>
              <w:spacing w:after="0"/>
            </w:pPr>
            <w:r>
              <w:t xml:space="preserve">Warning su stderr; l'invio resta considerato riuscito.</w:t>
            </w:r>
          </w:p>
        </w:tc>
      </w:tr>
    </w:tbl>
    <w:p>
      <w:r>
        <w:t xml:space="preserve">Ogni riga endpoint produce un log con ID, endpoint, porta, host normalizzato, stato precedente, esito, nuovo valore ATTIVO, decisione mail, dettaglio errore o connessione riuscita e tempo di controllo in millisecondi.</w:t>
      </w:r>
    </w:p>
    <w:p>
      <w:pPr>
        <w:pStyle w:val="Heading1"/>
        <w:spacing w:after="120"/>
      </w:pPr>
      <w:r>
        <w:t xml:space="preserve">9. Sicurezza e manutenibilita</w:t>
      </w:r>
    </w:p>
    <w:p>
      <w:pPr>
        <w:pStyle w:val="ListParagraph"/>
        <w:spacing w:after="60"/>
      </w:pPr>
      <w:r>
        <w:t xml:space="preserve">- Le credenziali database devono essere gestite come segreto operativo e preferibilmente fornite da configurazione esterna o task scheduler, evitando la propagazione in documenti e log.</w:t>
      </w:r>
    </w:p>
    <w:p>
      <w:pPr>
        <w:pStyle w:val="ListParagraph"/>
        <w:spacing w:after="60"/>
      </w:pPr>
      <w:r>
        <w:t xml:space="preserve">- Il servizio mail e raggiunto via HTTP interno: la sicurezza dipende dal perimetro di rete e dal controllo degli accessi al servizio TopMail.</w:t>
      </w:r>
    </w:p>
    <w:p>
      <w:pPr>
        <w:pStyle w:val="ListParagraph"/>
        <w:spacing w:after="60"/>
      </w:pPr>
      <w:r>
        <w:t xml:space="preserve">- La cartella di log mail su share amministrativa richiede permessi coerenti per l'utenza che esegue il task schedulato.</w:t>
      </w:r>
    </w:p>
    <w:p>
      <w:pPr>
        <w:pStyle w:val="ListParagraph"/>
        <w:spacing w:after="60"/>
      </w:pPr>
      <w:r>
        <w:t xml:space="preserve">- Il codice usa PreparedStatement per l'update dello stato, riducendo il rischio di concatenazione SQL su dati runtime.</w:t>
      </w:r>
    </w:p>
    <w:p>
      <w:pPr>
        <w:pStyle w:val="ListParagraph"/>
        <w:spacing w:after="60"/>
      </w:pPr>
      <w:r>
        <w:t xml:space="preserve">- Il sistema non espone endpoint web e non accetta input utente interattivo; la superficie principale e la configurazione runtime e l'accesso ai sistemi esterni.</w:t>
      </w:r>
    </w:p>
    <w:p>
      <w:pPr>
        <w:pStyle w:val="ListParagraph"/>
        <w:spacing w:after="60"/>
      </w:pPr>
      <w:r>
        <w:t xml:space="preserve">- Per manutenzioni future e opportuno separare i default sensibili dal codice sorgente e introdurre test automatici sulle funzioni di normalizzazione host e decisione alert.</w:t>
      </w:r>
    </w:p>
    <w:p>
      <w:pPr>
        <w:pStyle w:val="Heading1"/>
        <w:spacing w:after="120"/>
      </w:pPr>
      <w:r>
        <w:t xml:space="preserve">10. Requisiti di sistema</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2600"/>
        <w:gridCol w:w="6600"/>
      </w:tblGrid>
      <w:tr>
        <w:tc>
          <w:tcPr>
            <w:tcW w:w="2600" w:type="dxa"/>
            <w:shd w:fill="D9EAF7"/>
          </w:tcPr>
          <w:p>
            <w:pPr>
              <w:pStyle w:val="TableHeader"/>
              <w:spacing w:after="0"/>
            </w:pPr>
            <w:r>
              <w:t xml:space="preserve">Area</w:t>
            </w:r>
          </w:p>
        </w:tc>
        <w:tc>
          <w:tcPr>
            <w:tcW w:w="6600" w:type="dxa"/>
            <w:shd w:fill="D9EAF7"/>
          </w:tcPr>
          <w:p>
            <w:pPr>
              <w:pStyle w:val="TableHeader"/>
              <w:spacing w:after="0"/>
            </w:pPr>
            <w:r>
              <w:t xml:space="preserve">Requisito</w:t>
            </w:r>
          </w:p>
        </w:tc>
      </w:tr>
      <w:tr>
        <w:tc>
          <w:tcPr>
            <w:tcW w:w="2600" w:type="dxa"/>
          </w:tcPr>
          <w:p>
            <w:pPr>
              <w:pStyle w:val="TableText"/>
              <w:spacing w:after="0"/>
            </w:pPr>
            <w:r>
              <w:t xml:space="preserve">Sistema operativo</w:t>
            </w:r>
          </w:p>
        </w:tc>
        <w:tc>
          <w:tcPr>
            <w:tcW w:w="6600" w:type="dxa"/>
          </w:tcPr>
          <w:p>
            <w:pPr>
              <w:pStyle w:val="TableText"/>
              <w:spacing w:after="0"/>
            </w:pPr>
            <w:r>
              <w:t xml:space="preserve">Server Windows compatibile con Java 8 e Windows Task Scheduler.</w:t>
            </w:r>
          </w:p>
        </w:tc>
      </w:tr>
      <w:tr>
        <w:tc>
          <w:tcPr>
            <w:tcW w:w="2600" w:type="dxa"/>
          </w:tcPr>
          <w:p>
            <w:pPr>
              <w:pStyle w:val="TableText"/>
              <w:spacing w:after="0"/>
            </w:pPr>
            <w:r>
              <w:t xml:space="preserve">Java</w:t>
            </w:r>
          </w:p>
        </w:tc>
        <w:tc>
          <w:tcPr>
            <w:tcW w:w="6600" w:type="dxa"/>
          </w:tcPr>
          <w:p>
            <w:pPr>
              <w:pStyle w:val="TableText"/>
              <w:spacing w:after="0"/>
            </w:pPr>
            <w:r>
              <w:t xml:space="preserve">JDK/JRE 1.8, coerente con javac.source=1.8 e javac.target=1.8.</w:t>
            </w:r>
          </w:p>
        </w:tc>
      </w:tr>
      <w:tr>
        <w:tc>
          <w:tcPr>
            <w:tcW w:w="2600" w:type="dxa"/>
          </w:tcPr>
          <w:p>
            <w:pPr>
              <w:pStyle w:val="TableText"/>
              <w:spacing w:after="0"/>
            </w:pPr>
            <w:r>
              <w:t xml:space="preserve">Database</w:t>
            </w:r>
          </w:p>
        </w:tc>
        <w:tc>
          <w:tcPr>
            <w:tcW w:w="6600" w:type="dxa"/>
          </w:tcPr>
          <w:p>
            <w:pPr>
              <w:pStyle w:val="TableText"/>
              <w:spacing w:after="0"/>
            </w:pPr>
            <w:r>
              <w:t xml:space="preserve">Oracle raggiungibile tramite JDBC thin e credenziali abilitate su TOPSENTINEL_ENDPOINT.</w:t>
            </w:r>
          </w:p>
        </w:tc>
      </w:tr>
      <w:tr>
        <w:tc>
          <w:tcPr>
            <w:tcW w:w="2600" w:type="dxa"/>
          </w:tcPr>
          <w:p>
            <w:pPr>
              <w:pStyle w:val="TableText"/>
              <w:spacing w:after="0"/>
            </w:pPr>
            <w:r>
              <w:t xml:space="preserve">Rete</w:t>
            </w:r>
          </w:p>
        </w:tc>
        <w:tc>
          <w:tcPr>
            <w:tcW w:w="6600" w:type="dxa"/>
          </w:tcPr>
          <w:p>
            <w:pPr>
              <w:pStyle w:val="TableText"/>
              <w:spacing w:after="0"/>
            </w:pPr>
            <w:r>
              <w:t xml:space="preserve">Connettivita verso host Gallery, porta configurata, topmail:9096 e share log.</w:t>
            </w:r>
          </w:p>
        </w:tc>
      </w:tr>
      <w:tr>
        <w:tc>
          <w:tcPr>
            <w:tcW w:w="2600" w:type="dxa"/>
          </w:tcPr>
          <w:p>
            <w:pPr>
              <w:pStyle w:val="TableText"/>
              <w:spacing w:after="0"/>
            </w:pPr>
            <w:r>
              <w:t xml:space="preserve">File system</w:t>
            </w:r>
          </w:p>
        </w:tc>
        <w:tc>
          <w:tcPr>
            <w:tcW w:w="6600" w:type="dxa"/>
          </w:tcPr>
          <w:p>
            <w:pPr>
              <w:pStyle w:val="TableText"/>
              <w:spacing w:after="0"/>
            </w:pPr>
            <w:r>
              <w:t xml:space="preserve">Permessi di lettura sul JAR/lib e scrittura su logs locale e mail-log-dir.</w:t>
            </w:r>
          </w:p>
        </w:tc>
      </w:tr>
      <w:tr>
        <w:tc>
          <w:tcPr>
            <w:tcW w:w="2600" w:type="dxa"/>
          </w:tcPr>
          <w:p>
            <w:pPr>
              <w:pStyle w:val="TableText"/>
              <w:spacing w:after="0"/>
            </w:pPr>
            <w:r>
              <w:t xml:space="preserve">Build</w:t>
            </w:r>
          </w:p>
        </w:tc>
        <w:tc>
          <w:tcPr>
            <w:tcW w:w="6600" w:type="dxa"/>
          </w:tcPr>
          <w:p>
            <w:pPr>
              <w:pStyle w:val="TableText"/>
              <w:spacing w:after="0"/>
            </w:pPr>
            <w:r>
              <w:t xml:space="preserve">Progetto NetBeans Java Application con build Ant.</w:t>
            </w:r>
          </w:p>
        </w:tc>
      </w:tr>
    </w:tbl>
    <w:p>
      <w:pPr>
        <w:pStyle w:val="Heading1"/>
        <w:spacing w:after="120"/>
      </w:pPr>
      <w:r>
        <w:t xml:space="preserve">11. Deployment</w:t>
      </w:r>
    </w:p>
    <w:p>
      <w:r>
        <w:t xml:space="preserve">La distribuzione NetBeans richiede il JAR applicativo, la cartella lib con le dipendenze e il batch di avvio. Non e sufficiente copiare il solo JAR, perche le librerie JDBC sono referenziate dal classpath del manifest/distribuzione.</w:t>
      </w:r>
    </w:p>
    <w:p>
      <w:pPr>
        <w:pStyle w:val="Code"/>
        <w:spacing w:after="0"/>
      </w:pPr>
      <w:r>
        <w:t xml:space="preserve">Contenuto da copiare sul server:</w:t>
      </w:r>
    </w:p>
    <w:p>
      <w:pPr>
        <w:pStyle w:val="Code"/>
        <w:spacing w:after="0"/>
      </w:pPr>
      <w:r>
        <w:t xml:space="preserve">- TopSentinelMailGallery.jar</w:t>
      </w:r>
    </w:p>
    <w:p>
      <w:pPr>
        <w:pStyle w:val="Code"/>
        <w:spacing w:after="0"/>
      </w:pPr>
      <w:r>
        <w:t xml:space="preserve">- lib\</w:t>
      </w:r>
    </w:p>
    <w:p>
      <w:pPr>
        <w:pStyle w:val="Code"/>
        <w:spacing w:after="0"/>
      </w:pPr>
      <w:r>
        <w:t xml:space="preserve">- run-topsentinel-mail-gallery.cmd</w:t>
      </w:r>
    </w:p>
    <w:p>
      <w:r>
        <w:t xml:space="preserve">Percorso consigliato dal README server: C:\\Batch\\TopSentinelMailGallery. Il file TopSentinelMailGallery-server.zip contiene il pacchetto server gia predisposto.</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2200"/>
        <w:gridCol w:w="7000"/>
      </w:tblGrid>
      <w:tr>
        <w:tc>
          <w:tcPr>
            <w:tcW w:w="2200" w:type="dxa"/>
            <w:shd w:fill="D9EAF7"/>
          </w:tcPr>
          <w:p>
            <w:pPr>
              <w:pStyle w:val="TableHeader"/>
              <w:spacing w:after="0"/>
            </w:pPr>
            <w:r>
              <w:t xml:space="preserve">Fase</w:t>
            </w:r>
          </w:p>
        </w:tc>
        <w:tc>
          <w:tcPr>
            <w:tcW w:w="7000" w:type="dxa"/>
            <w:shd w:fill="D9EAF7"/>
          </w:tcPr>
          <w:p>
            <w:pPr>
              <w:pStyle w:val="TableHeader"/>
              <w:spacing w:after="0"/>
            </w:pPr>
            <w:r>
              <w:t xml:space="preserve">Attivita</w:t>
            </w:r>
          </w:p>
        </w:tc>
      </w:tr>
      <w:tr>
        <w:tc>
          <w:tcPr>
            <w:tcW w:w="2200" w:type="dxa"/>
          </w:tcPr>
          <w:p>
            <w:pPr>
              <w:pStyle w:val="TableText"/>
              <w:spacing w:after="0"/>
            </w:pPr>
            <w:r>
              <w:t xml:space="preserve">Build</w:t>
            </w:r>
          </w:p>
        </w:tc>
        <w:tc>
          <w:tcPr>
            <w:tcW w:w="7000" w:type="dxa"/>
          </w:tcPr>
          <w:p>
            <w:pPr>
              <w:pStyle w:val="TableText"/>
              <w:spacing w:after="0"/>
            </w:pPr>
            <w:r>
              <w:t xml:space="preserve">Eseguire clean/dist da NetBeans o Ant e verificare la presenza del JAR in dist.</w:t>
            </w:r>
          </w:p>
        </w:tc>
      </w:tr>
      <w:tr>
        <w:tc>
          <w:tcPr>
            <w:tcW w:w="2200" w:type="dxa"/>
          </w:tcPr>
          <w:p>
            <w:pPr>
              <w:pStyle w:val="TableText"/>
              <w:spacing w:after="0"/>
            </w:pPr>
            <w:r>
              <w:t xml:space="preserve">Copia</w:t>
            </w:r>
          </w:p>
        </w:tc>
        <w:tc>
          <w:tcPr>
            <w:tcW w:w="7000" w:type="dxa"/>
          </w:tcPr>
          <w:p>
            <w:pPr>
              <w:pStyle w:val="TableText"/>
              <w:spacing w:after="0"/>
            </w:pPr>
            <w:r>
              <w:t xml:space="preserve">Copiare JAR, lib e CMD nella cartella server.</w:t>
            </w:r>
          </w:p>
        </w:tc>
      </w:tr>
      <w:tr>
        <w:tc>
          <w:tcPr>
            <w:tcW w:w="2200" w:type="dxa"/>
          </w:tcPr>
          <w:p>
            <w:pPr>
              <w:pStyle w:val="TableText"/>
              <w:spacing w:after="0"/>
            </w:pPr>
            <w:r>
              <w:t xml:space="preserve">Configurazione task</w:t>
            </w:r>
          </w:p>
        </w:tc>
        <w:tc>
          <w:tcPr>
            <w:tcW w:w="7000" w:type="dxa"/>
          </w:tcPr>
          <w:p>
            <w:pPr>
              <w:pStyle w:val="TableText"/>
              <w:spacing w:after="0"/>
            </w:pPr>
            <w:r>
              <w:t xml:space="preserve">Impostare Program/script, Start in e Arguments nel Task Scheduler.</w:t>
            </w:r>
          </w:p>
        </w:tc>
      </w:tr>
      <w:tr>
        <w:tc>
          <w:tcPr>
            <w:tcW w:w="2200" w:type="dxa"/>
          </w:tcPr>
          <w:p>
            <w:pPr>
              <w:pStyle w:val="TableText"/>
              <w:spacing w:after="0"/>
            </w:pPr>
            <w:r>
              <w:t xml:space="preserve">Permessi</w:t>
            </w:r>
          </w:p>
        </w:tc>
        <w:tc>
          <w:tcPr>
            <w:tcW w:w="7000" w:type="dxa"/>
          </w:tcPr>
          <w:p>
            <w:pPr>
              <w:pStyle w:val="TableText"/>
              <w:spacing w:after="0"/>
            </w:pPr>
            <w:r>
              <w:t xml:space="preserve">Verificare accesso DB, rete, servizio mail e scrittura log.</w:t>
            </w:r>
          </w:p>
        </w:tc>
      </w:tr>
      <w:tr>
        <w:tc>
          <w:tcPr>
            <w:tcW w:w="2200" w:type="dxa"/>
          </w:tcPr>
          <w:p>
            <w:pPr>
              <w:pStyle w:val="TableText"/>
              <w:spacing w:after="0"/>
            </w:pPr>
            <w:r>
              <w:t xml:space="preserve">Smoke test</w:t>
            </w:r>
          </w:p>
        </w:tc>
        <w:tc>
          <w:tcPr>
            <w:tcW w:w="7000" w:type="dxa"/>
          </w:tcPr>
          <w:p>
            <w:pPr>
              <w:pStyle w:val="TableText"/>
              <w:spacing w:after="0"/>
            </w:pPr>
            <w:r>
              <w:t xml:space="preserve">Eseguire manualmente java -jar o il CMD con timeout ridotto e controllare il log.</w:t>
            </w:r>
          </w:p>
        </w:tc>
      </w:tr>
      <w:tr>
        <w:tc>
          <w:tcPr>
            <w:tcW w:w="2200" w:type="dxa"/>
          </w:tcPr>
          <w:p>
            <w:pPr>
              <w:pStyle w:val="TableText"/>
              <w:spacing w:after="0"/>
            </w:pPr>
            <w:r>
              <w:t xml:space="preserve">Rollback</w:t>
            </w:r>
          </w:p>
        </w:tc>
        <w:tc>
          <w:tcPr>
            <w:tcW w:w="7000" w:type="dxa"/>
          </w:tcPr>
          <w:p>
            <w:pPr>
              <w:pStyle w:val="TableText"/>
              <w:spacing w:after="0"/>
            </w:pPr>
            <w:r>
              <w:t xml:space="preserve">Conservare il pacchetto precedente e ripristinare cartella JAR/lib/CMD in caso di anomalia.</w:t>
            </w:r>
          </w:p>
        </w:tc>
      </w:tr>
    </w:tbl>
    <w:p>
      <w:pPr>
        <w:pStyle w:val="Heading1"/>
        <w:spacing w:after="120"/>
      </w:pPr>
      <w:r>
        <w:t xml:space="preserve">12. Ambiente di esercizio</w:t>
      </w:r>
    </w:p>
    <w:p>
      <w:r>
        <w:t xml:space="preserve">In esercizio l'applicazione viene normalmente avviata dal Task Scheduler. Il batch imposta la working directory alla cartella del comando, usa JAVA_HOME se valorizzato, crea la cartella logs se assente e accoda l'output al file logs\\TopSentinelMailGallery.log.</w:t>
      </w:r>
    </w:p>
    <w:p>
      <w:pPr>
        <w:pStyle w:val="Code"/>
        <w:spacing w:after="0"/>
      </w:pPr>
      <w:r>
        <w:t xml:space="preserve">@echo off</w:t>
      </w:r>
    </w:p>
    <w:p>
      <w:pPr>
        <w:pStyle w:val="Code"/>
        <w:spacing w:after="0"/>
      </w:pPr>
      <w:r>
        <w:t xml:space="preserve">setlocal</w:t>
      </w:r>
    </w:p>
    <w:p>
      <w:pPr>
        <w:pStyle w:val="Code"/>
        <w:spacing w:after="0"/>
      </w:pPr>
      <w:r>
        <w:t xml:space="preserve">cd /d "%~dp0"</w:t>
      </w:r>
    </w:p>
    <w:p>
      <w:pPr>
        <w:pStyle w:val="Code"/>
        <w:spacing w:after="0"/>
      </w:pPr>
      <w:r>
        <w:t xml:space="preserve">set "JAVA_EXE=java"</w:t>
      </w:r>
    </w:p>
    <w:p>
      <w:pPr>
        <w:pStyle w:val="Code"/>
        <w:spacing w:after="0"/>
      </w:pPr>
      <w:r>
        <w:t xml:space="preserve">if defined JAVA_HOME set "JAVA_EXE=%JAVA_HOME%\\bin\\java.exe"</w:t>
      </w:r>
    </w:p>
    <w:p>
      <w:pPr>
        <w:pStyle w:val="Code"/>
        <w:spacing w:after="0"/>
      </w:pPr>
      <w:r>
        <w:t xml:space="preserve">if not exist "%~dp0logs" mkdir "%~dp0logs"</w:t>
      </w:r>
    </w:p>
    <w:p>
      <w:pPr>
        <w:pStyle w:val="Code"/>
        <w:spacing w:after="0"/>
      </w:pPr>
      <w:r>
        <w:t xml:space="preserve">"%JAVA_EXE%" -jar "%~dp0TopSentinelMailGallery.jar" %* &gt;&gt; "%~dp0logs\\TopSentinelMailGallery.log" 2&gt;&amp;1</w:t>
      </w:r>
    </w:p>
    <w:p>
      <w:r>
        <w:t xml:space="preserve">Il presidio operativo dovrebbe controllare periodicamente l'assenza di errori SQL, il numero di endpoint non raggiungibili, l'esito degli invii mail e la crescita dei file di log.</w:t>
      </w:r>
    </w:p>
    <w:p>
      <w:pPr>
        <w:pStyle w:val="Heading1"/>
        <w:spacing w:after="120"/>
      </w:pPr>
      <w:r>
        <w:t xml:space="preserve">13. Troubleshooting</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3200"/>
        <w:gridCol w:w="6000"/>
      </w:tblGrid>
      <w:tr>
        <w:tc>
          <w:tcPr>
            <w:tcW w:w="3200" w:type="dxa"/>
            <w:shd w:fill="D9EAF7"/>
          </w:tcPr>
          <w:p>
            <w:pPr>
              <w:pStyle w:val="TableHeader"/>
              <w:spacing w:after="0"/>
            </w:pPr>
            <w:r>
              <w:t xml:space="preserve">Sintomo</w:t>
            </w:r>
          </w:p>
        </w:tc>
        <w:tc>
          <w:tcPr>
            <w:tcW w:w="6000" w:type="dxa"/>
            <w:shd w:fill="D9EAF7"/>
          </w:tcPr>
          <w:p>
            <w:pPr>
              <w:pStyle w:val="TableHeader"/>
              <w:spacing w:after="0"/>
            </w:pPr>
            <w:r>
              <w:t xml:space="preserve">Verifiche consigliate</w:t>
            </w:r>
          </w:p>
        </w:tc>
      </w:tr>
      <w:tr>
        <w:tc>
          <w:tcPr>
            <w:tcW w:w="3200" w:type="dxa"/>
          </w:tcPr>
          <w:p>
            <w:pPr>
              <w:pStyle w:val="TableText"/>
              <w:spacing w:after="0"/>
            </w:pPr>
            <w:r>
              <w:t xml:space="preserve">Errore "Driver JDBC non trovato"</w:t>
            </w:r>
          </w:p>
        </w:tc>
        <w:tc>
          <w:tcPr>
            <w:tcW w:w="6000" w:type="dxa"/>
          </w:tcPr>
          <w:p>
            <w:pPr>
              <w:pStyle w:val="TableText"/>
              <w:spacing w:after="0"/>
            </w:pPr>
            <w:r>
              <w:t xml:space="preserve">Verificare presenza ojdbc8.jar in lib e classpath della distribuzione.</w:t>
            </w:r>
          </w:p>
        </w:tc>
      </w:tr>
      <w:tr>
        <w:tc>
          <w:tcPr>
            <w:tcW w:w="3200" w:type="dxa"/>
          </w:tcPr>
          <w:p>
            <w:pPr>
              <w:pStyle w:val="TableText"/>
              <w:spacing w:after="0"/>
            </w:pPr>
            <w:r>
              <w:t xml:space="preserve">Errore connessione database</w:t>
            </w:r>
          </w:p>
        </w:tc>
        <w:tc>
          <w:tcPr>
            <w:tcW w:w="6000" w:type="dxa"/>
          </w:tcPr>
          <w:p>
            <w:pPr>
              <w:pStyle w:val="TableText"/>
              <w:spacing w:after="0"/>
            </w:pPr>
            <w:r>
              <w:t xml:space="preserve">Verificare db-url, credenziali, DNS/tnsnames equivalente, firewall e disponibilita Oracle.</w:t>
            </w:r>
          </w:p>
        </w:tc>
      </w:tr>
      <w:tr>
        <w:tc>
          <w:tcPr>
            <w:tcW w:w="3200" w:type="dxa"/>
          </w:tcPr>
          <w:p>
            <w:pPr>
              <w:pStyle w:val="TableText"/>
              <w:spacing w:after="0"/>
            </w:pPr>
            <w:r>
              <w:t xml:space="preserve">Tutti gli endpoint non raggiungibili</w:t>
            </w:r>
          </w:p>
        </w:tc>
        <w:tc>
          <w:tcPr>
            <w:tcW w:w="6000" w:type="dxa"/>
          </w:tcPr>
          <w:p>
            <w:pPr>
              <w:pStyle w:val="TableText"/>
              <w:spacing w:after="0"/>
            </w:pPr>
            <w:r>
              <w:t xml:space="preserve">Verificare rete dal server, risoluzione host, porta configurata e timeout.</w:t>
            </w:r>
          </w:p>
        </w:tc>
      </w:tr>
      <w:tr>
        <w:tc>
          <w:tcPr>
            <w:tcW w:w="3200" w:type="dxa"/>
          </w:tcPr>
          <w:p>
            <w:pPr>
              <w:pStyle w:val="TableText"/>
              <w:spacing w:after="0"/>
            </w:pPr>
            <w:r>
              <w:t xml:space="preserve">Mail non inviata</w:t>
            </w:r>
          </w:p>
        </w:tc>
        <w:tc>
          <w:tcPr>
            <w:tcW w:w="6000" w:type="dxa"/>
          </w:tcPr>
          <w:p>
            <w:pPr>
              <w:pStyle w:val="TableText"/>
              <w:spacing w:after="0"/>
            </w:pPr>
            <w:r>
              <w:t xml:space="preserve">Verificare raggiungibilita http://topmail:9096/TopMail.asmx, response SOAP e autorizzazioni del servizio.</w:t>
            </w:r>
          </w:p>
        </w:tc>
      </w:tr>
      <w:tr>
        <w:tc>
          <w:tcPr>
            <w:tcW w:w="3200" w:type="dxa"/>
          </w:tcPr>
          <w:p>
            <w:pPr>
              <w:pStyle w:val="TableText"/>
              <w:spacing w:after="0"/>
            </w:pPr>
            <w:r>
              <w:t xml:space="preserve">Log mail non scritto</w:t>
            </w:r>
          </w:p>
        </w:tc>
        <w:tc>
          <w:tcPr>
            <w:tcW w:w="6000" w:type="dxa"/>
          </w:tcPr>
          <w:p>
            <w:pPr>
              <w:pStyle w:val="TableText"/>
              <w:spacing w:after="0"/>
            </w:pPr>
            <w:r>
              <w:t xml:space="preserve">Verificare esistenza e permessi della share configurata in --mail-log-dir.</w:t>
            </w:r>
          </w:p>
        </w:tc>
      </w:tr>
      <w:tr>
        <w:tc>
          <w:tcPr>
            <w:tcW w:w="3200" w:type="dxa"/>
          </w:tcPr>
          <w:p>
            <w:pPr>
              <w:pStyle w:val="TableText"/>
              <w:spacing w:after="0"/>
            </w:pPr>
            <w:r>
              <w:t xml:space="preserve">Task schedulato non produce log</w:t>
            </w:r>
          </w:p>
        </w:tc>
        <w:tc>
          <w:tcPr>
            <w:tcW w:w="6000" w:type="dxa"/>
          </w:tcPr>
          <w:p>
            <w:pPr>
              <w:pStyle w:val="TableText"/>
              <w:spacing w:after="0"/>
            </w:pPr>
            <w:r>
              <w:t xml:space="preserve">Verificare Start in, utenza di esecuzione, JAVA_HOME e permessi sulla cartella logs.</w:t>
            </w:r>
          </w:p>
        </w:tc>
      </w:tr>
    </w:tbl>
    <w:p>
      <w:pPr>
        <w:pStyle w:val="Heading1"/>
        <w:spacing w:after="120"/>
      </w:pPr>
      <w:r>
        <w:t xml:space="preserve">14. Allegati</w:t>
      </w:r>
    </w:p>
    <w:p>
      <w:pPr>
        <w:pStyle w:val="Heading2"/>
        <w:spacing w:after="120"/>
      </w:pPr>
      <w:r>
        <w:t xml:space="preserve">14.1 Comandi utili</w:t>
      </w:r>
    </w:p>
    <w:p>
      <w:pPr>
        <w:pStyle w:val="Code"/>
        <w:spacing w:after="0"/>
      </w:pPr>
      <w:r>
        <w:t xml:space="preserve">java -jar TopSentinelMailGallery.jar --help</w:t>
      </w:r>
    </w:p>
    <w:p>
      <w:pPr>
        <w:pStyle w:val="Code"/>
        <w:spacing w:after="0"/>
      </w:pPr>
      <w:r>
        <w:t xml:space="preserve">java -jar TopSentinelMailGallery.jar --timeout-ms=5000</w:t>
      </w:r>
    </w:p>
    <w:p>
      <w:pPr>
        <w:pStyle w:val="Code"/>
        <w:spacing w:after="0"/>
      </w:pPr>
      <w:r>
        <w:t xml:space="preserve">run-topsentinel-mail-gallery.cmd --timeout-ms=5000</w:t>
      </w:r>
    </w:p>
    <w:p>
      <w:pPr>
        <w:pStyle w:val="Heading2"/>
        <w:spacing w:after="120"/>
      </w:pPr>
      <w:r>
        <w:t xml:space="preserve">14.2 File principali</w:t>
      </w:r>
    </w:p>
    <w:tbl>
      <w:tblPr>
        <w:tblStyle w:val="TableGrid"/>
        <w:tblW w:w="0" w:type="auto"/>
        <w:tblBorders>
          <w:top w:val="single" w:sz="6" w:space="0" w:color="7F7F7F"/>
          <w:left w:val="single" w:sz="6" w:space="0" w:color="7F7F7F"/>
          <w:bottom w:val="single" w:sz="6" w:space="0" w:color="7F7F7F"/>
          <w:right w:val="single" w:sz="6" w:space="0" w:color="7F7F7F"/>
          <w:insideH w:val="single" w:sz="4" w:space="0" w:color="BFBFBF"/>
          <w:insideV w:val="single" w:sz="4" w:space="0" w:color="BFBFBF"/>
        </w:tblBorders>
        <w:tblCellMar>
          <w:top w:w="80" w:type="dxa"/>
          <w:left w:w="80" w:type="dxa"/>
          <w:bottom w:w="80" w:type="dxa"/>
          <w:right w:w="80" w:type="dxa"/>
        </w:tblCellMar>
      </w:tblPr>
      <w:tblGrid>
        <w:gridCol w:w="4300"/>
        <w:gridCol w:w="4900"/>
      </w:tblGrid>
      <w:tr>
        <w:tc>
          <w:tcPr>
            <w:tcW w:w="4300" w:type="dxa"/>
            <w:shd w:fill="D9EAF7"/>
          </w:tcPr>
          <w:p>
            <w:pPr>
              <w:pStyle w:val="TableHeader"/>
              <w:spacing w:after="0"/>
            </w:pPr>
            <w:r>
              <w:t xml:space="preserve">Percorso</w:t>
            </w:r>
          </w:p>
        </w:tc>
        <w:tc>
          <w:tcPr>
            <w:tcW w:w="4900" w:type="dxa"/>
            <w:shd w:fill="D9EAF7"/>
          </w:tcPr>
          <w:p>
            <w:pPr>
              <w:pStyle w:val="TableHeader"/>
              <w:spacing w:after="0"/>
            </w:pPr>
            <w:r>
              <w:t xml:space="preserve">Descrizione</w:t>
            </w:r>
          </w:p>
        </w:tc>
      </w:tr>
      <w:tr>
        <w:tc>
          <w:tcPr>
            <w:tcW w:w="4300" w:type="dxa"/>
          </w:tcPr>
          <w:p>
            <w:pPr>
              <w:pStyle w:val="TableText"/>
              <w:spacing w:after="0"/>
            </w:pPr>
            <w:r>
              <w:t xml:space="preserve">src/TopSentinelMailGallery/TopSentinelMailGallery.java</w:t>
            </w:r>
          </w:p>
        </w:tc>
        <w:tc>
          <w:tcPr>
            <w:tcW w:w="4900" w:type="dxa"/>
          </w:tcPr>
          <w:p>
            <w:pPr>
              <w:pStyle w:val="TableText"/>
              <w:spacing w:after="0"/>
            </w:pPr>
            <w:r>
              <w:t xml:space="preserve">Main applicativo e logica di controllo.</w:t>
            </w:r>
          </w:p>
        </w:tc>
      </w:tr>
      <w:tr>
        <w:tc>
          <w:tcPr>
            <w:tcW w:w="4300" w:type="dxa"/>
          </w:tcPr>
          <w:p>
            <w:pPr>
              <w:pStyle w:val="TableText"/>
              <w:spacing w:after="0"/>
            </w:pPr>
            <w:r>
              <w:t xml:space="preserve">src/TopSentinelMailGallery/TopMailService.java</w:t>
            </w:r>
          </w:p>
        </w:tc>
        <w:tc>
          <w:tcPr>
            <w:tcW w:w="4900" w:type="dxa"/>
          </w:tcPr>
          <w:p>
            <w:pPr>
              <w:pStyle w:val="TableText"/>
              <w:spacing w:after="0"/>
            </w:pPr>
            <w:r>
              <w:t xml:space="preserve">Client SOAP TopMail.</w:t>
            </w:r>
          </w:p>
        </w:tc>
      </w:tr>
      <w:tr>
        <w:tc>
          <w:tcPr>
            <w:tcW w:w="4300" w:type="dxa"/>
          </w:tcPr>
          <w:p>
            <w:pPr>
              <w:pStyle w:val="TableText"/>
              <w:spacing w:after="0"/>
            </w:pPr>
            <w:r>
              <w:t xml:space="preserve">src/TopSentinelMailGallery/DataService.java</w:t>
            </w:r>
          </w:p>
        </w:tc>
        <w:tc>
          <w:tcPr>
            <w:tcW w:w="4900" w:type="dxa"/>
          </w:tcPr>
          <w:p>
            <w:pPr>
              <w:pStyle w:val="TableText"/>
              <w:spacing w:after="0"/>
            </w:pPr>
            <w:r>
              <w:t xml:space="preserve">Gestione connessione database.</w:t>
            </w:r>
          </w:p>
        </w:tc>
      </w:tr>
      <w:tr>
        <w:tc>
          <w:tcPr>
            <w:tcW w:w="4300" w:type="dxa"/>
          </w:tcPr>
          <w:p>
            <w:pPr>
              <w:pStyle w:val="TableText"/>
              <w:spacing w:after="0"/>
            </w:pPr>
            <w:r>
              <w:t xml:space="preserve">dist/run-topsentinel-mail-gallery.cmd</w:t>
            </w:r>
          </w:p>
        </w:tc>
        <w:tc>
          <w:tcPr>
            <w:tcW w:w="4900" w:type="dxa"/>
          </w:tcPr>
          <w:p>
            <w:pPr>
              <w:pStyle w:val="TableText"/>
              <w:spacing w:after="0"/>
            </w:pPr>
            <w:r>
              <w:t xml:space="preserve">Batch di esecuzione server.</w:t>
            </w:r>
          </w:p>
        </w:tc>
      </w:tr>
      <w:tr>
        <w:tc>
          <w:tcPr>
            <w:tcW w:w="4300" w:type="dxa"/>
          </w:tcPr>
          <w:p>
            <w:pPr>
              <w:pStyle w:val="TableText"/>
              <w:spacing w:after="0"/>
            </w:pPr>
            <w:r>
              <w:t xml:space="preserve">dist/README-SERVER.txt</w:t>
            </w:r>
          </w:p>
        </w:tc>
        <w:tc>
          <w:tcPr>
            <w:tcW w:w="4900" w:type="dxa"/>
          </w:tcPr>
          <w:p>
            <w:pPr>
              <w:pStyle w:val="TableText"/>
              <w:spacing w:after="0"/>
            </w:pPr>
            <w:r>
              <w:t xml:space="preserve">Promemoria operativo di deploy.</w:t>
            </w:r>
          </w:p>
        </w:tc>
      </w:tr>
      <w:tr>
        <w:tc>
          <w:tcPr>
            <w:tcW w:w="4300" w:type="dxa"/>
          </w:tcPr>
          <w:p>
            <w:pPr>
              <w:pStyle w:val="TableText"/>
              <w:spacing w:after="0"/>
            </w:pPr>
            <w:r>
              <w:t xml:space="preserve">TopSentinelMailGallery-server.zip</w:t>
            </w:r>
          </w:p>
        </w:tc>
        <w:tc>
          <w:tcPr>
            <w:tcW w:w="4900" w:type="dxa"/>
          </w:tcPr>
          <w:p>
            <w:pPr>
              <w:pStyle w:val="TableText"/>
              <w:spacing w:after="0"/>
            </w:pPr>
            <w:r>
              <w:t xml:space="preserve">Pacchetto server generato.</w:t>
            </w:r>
          </w:p>
        </w:tc>
      </w:tr>
    </w:tbl>
    <w:sectPr>
      <w:headerReference w:type="default" r:id="rId3"/>
      <w:footerReference w:type="default" r:id="rId4"/>
      <w:pgSz w:w="11906" w:h="16838"/>
      <w:pgMar w:top="1134" w:right="1134" w:bottom="1134" w:left="1134" w:header="708" w:footer="708" w:gutter="0"/>
      <w:cols w:space="708"/>
      <w:docGrid w:linePitch="360"/>
    </w:sectPr>
  </w:body>
</w:document>
</file>

<file path=word/footer1.xml><?xml version="1.0" encoding="utf-8"?>
<w:ftr xmlns:w="http://schemas.openxmlformats.org/wordprocessingml/2006/main" xmlns:r="http://schemas.openxmlformats.org/officeDocument/2006/relationships">
  <w:p>
    <w:pPr>
      <w:pStyle w:val="Footer"/>
      <w:pBdr>
        <w:top w:val="single" w:sz="4" w:space="1" w:color="D9EAF7"/>
      </w:pBdr>
    </w:pPr>
    <w:r>
      <w:t xml:space="preserve">pag. </w:t>
    </w:r>
    <w:fldSimple w:instr="PAGE">
      <w:r>
        <w:t>1</w:t>
      </w:r>
    </w:fldSimple>
  </w:p>
</w:ftr>
</file>

<file path=word/header1.xml><?xml version="1.0" encoding="utf-8"?>
<w:hdr xmlns:w="http://schemas.openxmlformats.org/wordprocessingml/2006/main" xmlns:r="http://schemas.openxmlformats.org/officeDocument/2006/relationships">
  <w:p>
    <w:pPr>
      <w:pStyle w:val="Header"/>
      <w:tabs>
        <w:tab w:val="right" w:pos="9360"/>
      </w:tabs>
      <w:pBdr>
        <w:bottom w:val="single" w:sz="4" w:space="1" w:color="D9EAF7"/>
      </w:pBdr>
    </w:pPr>
    <w:r>
      <w:t xml:space="preserve">ASL5 - TopSentinelMailGallery</w:t>
    </w:r>
    <w:r>
      <w:tab/>
    </w:r>
    <w:r>
      <w:t xml:space="preserve">Documentazione tecnica</w:t>
    </w:r>
  </w:p>
</w:hdr>
</file>

<file path=word/settings.xml><?xml version="1.0" encoding="utf-8"?>
<w:settings xmlns:w="http://schemas.openxmlformats.org/wordprocessingml/2006/main">
  <w:zoom w:percent="100"/>
  <w:defaultTabStop w:val="708"/>
  <w:characterSpacingControl w:val="doNotCompress"/>
</w:settings>
</file>

<file path=word/styles.xml><?xml version="1.0" encoding="utf-8"?>
<w:styles xmlns:w="http://schemas.openxmlformats.org/wordprocessingml/2006/main">
  <w:docDefaults>
    <w:rPrDefault>
      <w:rPr>
        <w:rFonts w:ascii="Calibri" w:hAnsi="Calibri" w:cs="Calibri"/>
        <w:sz w:val="22"/>
        <w:szCs w:val="22"/>
        <w:color w:val="1F1F1F"/>
      </w:rPr>
    </w:rPrDefault>
    <w:pPrDefault>
      <w:pPr>
        <w:spacing w:after="160" w:line="276" w:lineRule="auto"/>
      </w:pPr>
    </w:pPrDefault>
  </w:docDefaults>
  <w:style w:type="paragraph" w:default="1" w:styleId="Normal">
    <w:name w:val="Normal"/>
    <w:qFormat/>
  </w:style>
  <w:style w:type="paragraph" w:styleId="CoverKicker">
    <w:name w:val="Cover Kicker"/>
    <w:basedOn w:val="Normal"/>
    <w:rPr>
      <w:b/>
      <w:color w:val="315F8A"/>
      <w:sz w:val="26"/>
    </w:rPr>
    <w:pPr>
      <w:spacing w:after="0"/>
    </w:pPr>
  </w:style>
  <w:style w:type="paragraph" w:styleId="Title">
    <w:name w:val="Title"/>
    <w:basedOn w:val="Normal"/>
    <w:next w:val="Subtitle"/>
    <w:qFormat/>
    <w:rPr>
      <w:b/>
      <w:color w:val="1F4E79"/>
      <w:sz w:val="44"/>
      <w:szCs w:val="44"/>
    </w:rPr>
    <w:pPr>
      <w:spacing w:before="240" w:after="120"/>
    </w:pPr>
  </w:style>
  <w:style w:type="paragraph" w:styleId="Subtitle">
    <w:name w:val="Subtitle"/>
    <w:basedOn w:val="Normal"/>
    <w:qFormat/>
    <w:rPr>
      <w:color w:val="315F8A"/>
      <w:sz w:val="28"/>
    </w:rPr>
  </w:style>
  <w:style w:type="paragraph" w:styleId="Subtitle2">
    <w:name w:val="Subtitle 2"/>
    <w:basedOn w:val="Normal"/>
    <w:rPr>
      <w:i/>
      <w:color w:val="404040"/>
      <w:sz w:val="22"/>
    </w:rPr>
  </w:style>
  <w:style w:type="paragraph" w:styleId="CoverMeta">
    <w:name w:val="Cover Meta"/>
    <w:basedOn w:val="Normal"/>
    <w:rPr>
      <w:sz w:val="22"/>
      <w:color w:val="404040"/>
    </w:rPr>
  </w:style>
  <w:style w:type="paragraph" w:styleId="Heading1">
    <w:name w:val="heading 1"/>
    <w:basedOn w:val="Normal"/>
    <w:next w:val="Normal"/>
    <w:qFormat/>
    <w:uiPriority w:val="9"/>
    <w:pPr>
      <w:keepNext/>
      <w:spacing w:before="360" w:after="160"/>
      <w:outlineLvl w:val="0"/>
    </w:pPr>
    <w:rPr>
      <w:b/>
      <w:color w:val="1F4E79"/>
      <w:sz w:val="30"/>
      <w:szCs w:val="30"/>
    </w:rPr>
  </w:style>
  <w:style w:type="paragraph" w:styleId="Heading2">
    <w:name w:val="heading 2"/>
    <w:basedOn w:val="Normal"/>
    <w:next w:val="Normal"/>
    <w:qFormat/>
    <w:uiPriority w:val="9"/>
    <w:pPr>
      <w:keepNext/>
      <w:spacing w:before="240" w:after="120"/>
      <w:outlineLvl w:val="1"/>
    </w:pPr>
    <w:rPr>
      <w:b/>
      <w:color w:val="315F8A"/>
      <w:sz w:val="25"/>
      <w:szCs w:val="25"/>
    </w:rPr>
  </w:style>
  <w:style w:type="paragraph" w:styleId="Heading3">
    <w:name w:val="heading 3"/>
    <w:basedOn w:val="Normal"/>
    <w:next w:val="Normal"/>
    <w:qFormat/>
    <w:uiPriority w:val="9"/>
    <w:pPr>
      <w:keepNext/>
      <w:spacing w:before="180" w:after="100"/>
      <w:outlineLvl w:val="2"/>
    </w:pPr>
    <w:rPr>
      <w:b/>
      <w:color w:val="404040"/>
      <w:sz w:val="22"/>
    </w:rPr>
  </w:style>
  <w:style w:type="paragraph" w:styleId="ListParagraph">
    <w:name w:val="List Paragraph"/>
    <w:basedOn w:val="Normal"/>
    <w:pPr>
      <w:ind w:left="360" w:hanging="180"/>
      <w:spacing w:after="80"/>
    </w:pPr>
  </w:style>
  <w:style w:type="paragraph" w:styleId="Code">
    <w:name w:val="Code"/>
    <w:basedOn w:val="Normal"/>
    <w:pPr>
      <w:spacing w:before="0" w:after="0"/>
      <w:shd w:fill="F2F2F2"/>
    </w:pPr>
    <w:rPr>
      <w:rFonts w:ascii="Consolas" w:hAnsi="Consolas"/>
      <w:sz w:val="18"/>
      <w:color w:val="1F1F1F"/>
    </w:rPr>
  </w:style>
  <w:style w:type="paragraph" w:styleId="TableText">
    <w:name w:val="Table Text"/>
    <w:basedOn w:val="Normal"/>
    <w:pPr>
      <w:spacing w:after="0" w:line="240" w:lineRule="auto"/>
    </w:pPr>
    <w:rPr>
      <w:sz w:val="20"/>
    </w:rPr>
  </w:style>
  <w:style w:type="paragraph" w:styleId="TableHeader">
    <w:name w:val="Table Header"/>
    <w:basedOn w:val="TableText"/>
    <w:rPr>
      <w:b/>
      <w:color w:val="1F4E79"/>
      <w:sz w:val="20"/>
    </w:rPr>
  </w:style>
  <w:style w:type="paragraph" w:styleId="Header">
    <w:name w:val="Header"/>
    <w:basedOn w:val="Normal"/>
    <w:pPr>
      <w:tabs>
        <w:tab w:val="right" w:pos="9360"/>
      </w:tabs>
      <w:spacing w:after="0"/>
    </w:pPr>
    <w:rPr>
      <w:sz w:val="18"/>
      <w:color w:val="666666"/>
    </w:rPr>
  </w:style>
  <w:style w:type="paragraph" w:styleId="Footer">
    <w:name w:val="Footer"/>
    <w:basedOn w:val="Normal"/>
    <w:pPr>
      <w:spacing w:after="0"/>
      <w:jc w:val="right"/>
    </w:pPr>
    <w:rPr>
      <w:sz w:val="18"/>
      <w:color w:val="666666"/>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 Id="rId4" Type="http://schemas.openxmlformats.org/officeDocument/2006/relationships/footer" Target="footer1.xml"/>
</Relationships>
</file>