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a97a5bd26a734162" /><Relationship Type="http://schemas.openxmlformats.org/package/2006/relationships/metadata/core-properties" Target="/docProps/core.xml" Id="R7f704ab8bbcc4bff" /><Relationship Type="http://schemas.openxmlformats.org/officeDocument/2006/relationships/extended-properties" Target="/docProps/app.xml" Id="R43acccef184f48dd" /><Relationship Type="http://schemas.openxmlformats.org/officeDocument/2006/relationships/custom-properties" Target="/docProps/custom.xml" Id="Rbcee69f9a5384370"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2"/>
        </w:rPr>
        <w:t xml:space="preserve">AI-Powered LaTeX Diagram Generator for Academic Research</w:t>
      </w:r>
    </w:p>
    <w:p w14:paraId="00100002" w14:textId="00100003">
      <w:pPr>
        <w:pStyle w:val="Subtitle"/>
        <w:spacing w:after="80"/>
        <w:jc w:val="center"/>
      </w:pPr>
      <w:r>
        <w:rPr>
          <w:color w:val="57606A"/>
          <w:sz w:val="28"/>
        </w:rPr>
        <w:t xml:space="preserve">Problem Statement Document</w:t>
      </w:r>
    </w:p>
    <w:p w14:paraId="00100004" w14:textId="00100005">
      <w:pPr>
        <w:spacing w:after="480"/>
        <w:jc w:val="center"/>
      </w:pPr>
      <w:r>
        <w:rPr>
          <w:color w:val="57606A"/>
          <w:sz w:val="22"/>
        </w:rPr>
        <w:t xml:space="preserve">Technology: IBM Watson Studio  ·  IBM Granite / Llama 3.3 via WML</w:t>
      </w:r>
    </w:p>
    <w:p w14:paraId="00100006" w14:textId="00100007">
      <w:pPr>
        <w:pStyle w:val="Heading1"/>
        <w:spacing w:before="240" w:after="120"/>
      </w:pPr>
      <w:r>
        <w:rPr>
          <w:b/>
          <w:sz w:val="32"/>
        </w:rPr>
        <w:t xml:space="preserve">1. Executive Summary</w:t>
      </w:r>
    </w:p>
    <w:p w14:paraId="00100008" w14:textId="00100009">
      <w:pPr>
        <w:spacing w:after="160"/>
      </w:pPr>
      <w:r>
        <w:rPr>
          <w:sz w:val="22"/>
        </w:rPr>
        <w:t xml:space="preserve">Academic researchers and engineers spend significant time manually coding TikZ diagrams in LaTeX — a highly specialised, verbose, and error-prone process. This project delivers an intelligent AI agent that accepts plain-English descriptions and produces publication-ready TikZ code, eliminating the manual coding barrier and accelerating the research documentation workflow.</w:t>
      </w:r>
    </w:p>
    <w:p w14:paraId="0010000A" w14:textId="0010000B">
      <w:pPr>
        <w:pStyle w:val="Heading1"/>
        <w:spacing w:before="240" w:after="120"/>
      </w:pPr>
      <w:r>
        <w:rPr>
          <w:b/>
          <w:sz w:val="32"/>
        </w:rPr>
        <w:t xml:space="preserve">2. Problem Description</w:t>
      </w:r>
    </w:p>
    <w:p w14:paraId="0010000C" w14:textId="0010000D">
      <w:pPr>
        <w:pStyle w:val="Heading2"/>
        <w:spacing w:before="160" w:after="80"/>
      </w:pPr>
      <w:r>
        <w:rPr>
          <w:b/>
          <w:sz w:val="26"/>
        </w:rPr>
        <w:t xml:space="preserve">2.1 Background</w:t>
      </w:r>
    </w:p>
    <w:p w14:paraId="0010000E" w14:textId="0010000F">
      <w:pPr>
        <w:spacing w:after="160"/>
      </w:pPr>
      <w:r>
        <w:rPr>
          <w:sz w:val="22"/>
        </w:rPr>
        <w:t xml:space="preserve">LaTeX is the de facto standard for academic publishing across computer science, mathematics, physics, and engineering. Within LaTeX, TikZ is the primary package for creating high-quality vector diagrams — flowcharts, neural network architectures, state machines, system block diagrams, circuit schematics, and more. TikZ diagrams are embedded directly as code inside .tex source files, giving complete control over layout and appearance.</w:t>
      </w:r>
    </w:p>
    <w:p w14:paraId="00100010" w14:textId="00100011">
      <w:pPr>
        <w:pStyle w:val="Heading2"/>
        <w:spacing w:before="160" w:after="80"/>
      </w:pPr>
      <w:r>
        <w:rPr>
          <w:b/>
          <w:sz w:val="26"/>
        </w:rPr>
        <w:t xml:space="preserve">2.2 The Core Problem</w:t>
      </w:r>
    </w:p>
    <w:p w14:paraId="00100012" w14:textId="00100013">
      <w:pPr>
        <w:spacing w:after="120"/>
      </w:pPr>
      <w:r>
        <w:rPr>
          <w:sz w:val="22"/>
        </w:rPr>
        <w:t xml:space="preserve">Despite TikZ's power, its learning curve is steep and its syntax is complex. Researchers face the following specific pain points:</w:t>
      </w:r>
    </w:p>
    <w:p w14:paraId="00100014" w14:textId="00100015">
      <w:pPr>
        <w:numPr>
          <w:ilvl w:val="0"/>
          <w:numId w:val="1"/>
        </w:numPr>
        <w:spacing w:after="80"/>
      </w:pPr>
      <w:r>
        <w:rPr>
          <w:sz w:val="22"/>
        </w:rPr>
        <w:t xml:space="preserve">High Cognitive Overhead: Writing a single flowchart node requires memorising node syntax, library imports, coordinate systems, and arrow styles. A moderately complex diagram can require 50–200 lines of code.</w:t>
      </w:r>
    </w:p>
    <w:p w14:paraId="00100016" w14:textId="00100017">
      <w:pPr>
        <w:numPr>
          <w:ilvl w:val="0"/>
          <w:numId w:val="1"/>
        </w:numPr>
        <w:spacing w:after="80"/>
      </w:pPr>
      <w:r>
        <w:rPr>
          <w:sz w:val="22"/>
        </w:rPr>
        <w:t xml:space="preserve">Compilation Errors: TikZ errors are cryptic and difficult to debug. Missing braces, incorrect library names, or wrong coordinate syntax cause hours of troubleshooting.</w:t>
      </w:r>
    </w:p>
    <w:p w14:paraId="00100018" w14:textId="00100019">
      <w:pPr>
        <w:numPr>
          <w:ilvl w:val="0"/>
          <w:numId w:val="1"/>
        </w:numPr>
        <w:spacing w:after="80"/>
      </w:pPr>
      <w:r>
        <w:rPr>
          <w:sz w:val="22"/>
        </w:rPr>
        <w:t xml:space="preserve">Iteration Cost: Every visual refinement — changing a colour, repositioning a node, adding an edge — requires direct code edits, recompilation, and visual inspection, repeating the cycle multiple times.</w:t>
      </w:r>
    </w:p>
    <w:p w14:paraId="0010001A" w14:textId="0010001B">
      <w:pPr>
        <w:numPr>
          <w:ilvl w:val="0"/>
          <w:numId w:val="1"/>
        </w:numPr>
        <w:spacing w:after="80"/>
      </w:pPr>
      <w:r>
        <w:rPr>
          <w:sz w:val="22"/>
        </w:rPr>
        <w:t xml:space="preserve">Accessibility Barrier: Researchers who are domain experts but not LaTeX specialists are effectively excluded from producing their own high-quality diagrams without collaborator support.</w:t>
      </w:r>
    </w:p>
    <w:p w14:paraId="0010001C" w14:textId="0010001D">
      <w:pPr>
        <w:numPr>
          <w:ilvl w:val="0"/>
          <w:numId w:val="1"/>
        </w:numPr>
        <w:spacing w:after="160"/>
      </w:pPr>
      <w:r>
        <w:rPr>
          <w:sz w:val="22"/>
        </w:rPr>
        <w:t xml:space="preserve">No Iterative Refinement Tools: Existing LaTeX editors provide no AI-assisted refinement. There is no way to say 'make the decision diamond red' or 'add a dashed arrow from node A to C' without writing the code change manually.</w:t>
      </w:r>
    </w:p>
    <w:p w14:paraId="0010001E" w14:textId="0010001F">
      <w:pPr>
        <w:pStyle w:val="Heading2"/>
        <w:spacing w:before="160" w:after="80"/>
      </w:pPr>
      <w:r>
        <w:rPr>
          <w:b/>
          <w:sz w:val="26"/>
        </w:rPr>
        <w:t xml:space="preserve">2.3 Scale of Impact</w:t>
      </w:r>
    </w:p>
    <w:p w14:paraId="00100020" w14:textId="00100021">
      <w:pPr>
        <w:spacing w:after="160"/>
      </w:pPr>
      <w:r>
        <w:rPr>
          <w:sz w:val="22"/>
        </w:rPr>
        <w:t xml:space="preserve">This problem affects millions of researchers globally. IEEE, ACM, Springer, and Elsevier collectively publish hundreds of thousands of LaTeX-formatted papers per year. Each paper typically contains 3–10 diagrams. Even at 30 minutes per diagram, this represents tens of millions of person-hours spent annually on manual diagram coding — time that could be redirected to research itself.</w:t>
      </w:r>
    </w:p>
    <w:p w14:paraId="00100022" w14:textId="00100023">
      <w:pPr>
        <w:pStyle w:val="Heading1"/>
        <w:spacing w:before="240" w:after="120"/>
      </w:pPr>
      <w:r>
        <w:rPr>
          <w:b/>
          <w:sz w:val="32"/>
        </w:rPr>
        <w:t xml:space="preserve">3. Proposed Solution</w:t>
      </w:r>
    </w:p>
    <w:p w14:paraId="00100024" w14:textId="00100025">
      <w:pPr>
        <w:pStyle w:val="Heading2"/>
        <w:spacing w:before="160" w:after="80"/>
      </w:pPr>
      <w:r>
        <w:rPr>
          <w:b/>
          <w:sz w:val="26"/>
        </w:rPr>
        <w:t xml:space="preserve">3.1 System Overview</w:t>
      </w:r>
    </w:p>
    <w:p w14:paraId="00100026" w14:textId="00100027">
      <w:pPr>
        <w:spacing w:after="160"/>
      </w:pPr>
      <w:r>
        <w:rPr>
          <w:sz w:val="22"/>
        </w:rPr>
        <w:t xml:space="preserve">The AI-Powered LaTeX Diagram Generator is an intelligent agent that accepts natural language descriptions of academic diagrams and produces complete, compilable TikZ code. It is built on IBM Watson Studio and powered by large language models served through the IBM Watson Machine Learning API, with a conversational web interface for real-time generation and iterative refinement.</w:t>
      </w:r>
    </w:p>
    <w:p w14:paraId="00100028" w14:textId="00100029">
      <w:pPr>
        <w:pStyle w:val="Heading2"/>
        <w:spacing w:before="160" w:after="80"/>
      </w:pPr>
      <w:r>
        <w:rPr>
          <w:b/>
          <w:sz w:val="26"/>
        </w:rPr>
        <w:t xml:space="preserve">3.2 Key Capabilities</w:t>
      </w:r>
    </w:p>
    <w:p w14:paraId="0010002A" w14:textId="0010002B">
      <w:pPr>
        <w:numPr>
          <w:ilvl w:val="0"/>
          <w:numId w:val="2"/>
        </w:numPr>
        <w:spacing w:after="80"/>
      </w:pPr>
      <w:r>
        <w:rPr>
          <w:sz w:val="22"/>
        </w:rPr>
        <w:t xml:space="preserve">Natural Language to TikZ: Users describe a diagram in plain English ('A 4-step ML pipeline flowchart with a data quality decision node') and receive complete TikZ code instantly.</w:t>
      </w:r>
    </w:p>
    <w:p w14:paraId="0010002C" w14:textId="0010002D">
      <w:pPr>
        <w:numPr>
          <w:ilvl w:val="0"/>
          <w:numId w:val="2"/>
        </w:numPr>
        <w:spacing w:after="80"/>
      </w:pPr>
      <w:r>
        <w:rPr>
          <w:sz w:val="22"/>
        </w:rPr>
        <w:t xml:space="preserve">10 Diagram Types: Flowchart, neural network, block diagram, state machine, sequence diagram, tree, graph, circuit, timeline, and mindmap — each with type-appropriate TikZ library usage.</w:t>
      </w:r>
    </w:p>
    <w:p w14:paraId="0010002E" w14:textId="0010002F">
      <w:pPr>
        <w:numPr>
          <w:ilvl w:val="0"/>
          <w:numId w:val="2"/>
        </w:numPr>
        <w:spacing w:after="80"/>
      </w:pPr>
      <w:r>
        <w:rPr>
          <w:sz w:val="22"/>
        </w:rPr>
        <w:t xml:space="preserve">Plain-English Refinement: After generation, users issue conversational refinement commands ('Make the decision diamond red', 'Add a label to the final arrow') without touching code.</w:t>
      </w:r>
    </w:p>
    <w:p w14:paraId="00100030" w14:textId="00100031">
      <w:pPr>
        <w:numPr>
          <w:ilvl w:val="0"/>
          <w:numId w:val="2"/>
        </w:numPr>
        <w:spacing w:after="80"/>
      </w:pPr>
      <w:r>
        <w:rPr>
          <w:sz w:val="22"/>
        </w:rPr>
        <w:t xml:space="preserve">Style Presets: Three visual presets — Minimal (clean lines), Standard (academic default), and Detailed (rich shading) — covering the aesthetic conventions of different publication venues.</w:t>
      </w:r>
    </w:p>
    <w:p w14:paraId="00100032" w14:textId="00100033">
      <w:pPr>
        <w:numPr>
          <w:ilvl w:val="0"/>
          <w:numId w:val="2"/>
        </w:numPr>
        <w:spacing w:after="80"/>
      </w:pPr>
      <w:r>
        <w:rPr>
          <w:sz w:val="22"/>
        </w:rPr>
        <w:t xml:space="preserve">Explain and Improve: AI analysis of any TikZ code block — what it renders, structural breakdown, and specific publication-quality improvement suggestions.</w:t>
      </w:r>
    </w:p>
    <w:p w14:paraId="00100034" w14:textId="00100035">
      <w:pPr>
        <w:numPr>
          <w:ilvl w:val="0"/>
          <w:numId w:val="2"/>
        </w:numPr>
        <w:spacing w:after="80"/>
      </w:pPr>
      <w:r>
        <w:rPr>
          <w:sz w:val="22"/>
        </w:rPr>
        <w:t xml:space="preserve">One-Click LaTeX Wrapping: Generated TikZ is automatically wrapped in a standalone or article-class LaTeX document for immediate pdflatex compilation.</w:t>
      </w:r>
    </w:p>
    <w:p w14:paraId="00100036" w14:textId="00100037">
      <w:pPr>
        <w:numPr>
          <w:ilvl w:val="0"/>
          <w:numId w:val="2"/>
        </w:numPr>
        <w:spacing w:after="160"/>
      </w:pPr>
      <w:r>
        <w:rPr>
          <w:sz w:val="22"/>
        </w:rPr>
        <w:t xml:space="preserve">MCP Integration: Five tools exposed via the Model Context Protocol allow Bob (IBM's AI coding agent) to generate, refine, explain, wrap, and list diagram templates programmatically.</w:t>
      </w:r>
    </w:p>
    <w:p w14:paraId="00100038" w14:textId="00100039">
      <w:pPr>
        <w:pStyle w:val="Heading1"/>
        <w:spacing w:before="240" w:after="120"/>
      </w:pPr>
      <w:r>
        <w:rPr>
          <w:b/>
          <w:sz w:val="32"/>
        </w:rPr>
        <w:t xml:space="preserve">4. IBM Technology Stack</w:t>
      </w:r>
    </w:p>
    <w:p w14:paraId="0010003A" w14:textId="0010003B">
      <w:pPr>
        <w:spacing w:after="120"/>
      </w:pPr>
      <w:r>
        <w:rPr>
          <w:sz w:val="22"/>
        </w:rPr>
        <w:t xml:space="preserve">The solution is built entirely on IBM cloud infrastructure: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3C" w14:textId="0010003D">
            <w:r>
              <w:t xml:space="preserve">Component</w:t>
            </w:r>
          </w:p>
        </w:tc>
        <w:tc>
          <w:p w14:paraId="0010003E" w14:textId="0010003F">
            <w:r>
              <w:t xml:space="preserve">IBM Service</w:t>
            </w:r>
          </w:p>
        </w:tc>
        <w:tc>
          <w:p w14:paraId="00100040" w14:textId="00100041">
            <w:r>
              <w:t xml:space="preserve">Role in Solution</w:t>
            </w:r>
          </w:p>
        </w:tc>
      </w:tr>
      <w:tr>
        <w:trPr/>
        <w:tc>
          <w:p w14:paraId="00100042" w14:textId="00100043">
            <w:r>
              <w:t xml:space="preserve">Language Model</w:t>
            </w:r>
          </w:p>
        </w:tc>
        <w:tc>
          <w:p w14:paraId="00100044" w14:textId="00100045">
            <w:r>
              <w:t xml:space="preserve">Llama 3.3 70B Instruct (meta-llama/llama-3-3-70b-instruct)</w:t>
            </w:r>
          </w:p>
        </w:tc>
        <w:tc>
          <w:p w14:paraId="00100046" w14:textId="00100047">
            <w:r>
              <w:t xml:space="preserve">Generates and refines TikZ code from natural language prompts</w:t>
            </w:r>
          </w:p>
        </w:tc>
      </w:tr>
      <w:tr>
        <w:trPr/>
        <w:tc>
          <w:p w14:paraId="00100048" w14:textId="00100049">
            <w:r>
              <w:t xml:space="preserve">Inference API</w:t>
            </w:r>
          </w:p>
        </w:tc>
        <w:tc>
          <w:p w14:paraId="0010004A" w14:textId="0010004B">
            <w:r>
              <w:t xml:space="preserve">IBM Watson Machine Learning (WML) — /ml/v1/text/generation</w:t>
            </w:r>
          </w:p>
        </w:tc>
        <w:tc>
          <w:p w14:paraId="0010004C" w14:textId="0010004D">
            <w:r>
              <w:t xml:space="preserve">Hosts and serves the foundation model; handles token generation</w:t>
            </w:r>
          </w:p>
        </w:tc>
      </w:tr>
      <w:tr>
        <w:trPr/>
        <w:tc>
          <w:p w14:paraId="0010004E" w14:textId="0010004F">
            <w:r>
              <w:t xml:space="preserve">Authentication</w:t>
            </w:r>
          </w:p>
        </w:tc>
        <w:tc>
          <w:p w14:paraId="00100050" w14:textId="00100051">
            <w:r>
              <w:t xml:space="preserve">IBM Cloud IAM — API key to Bearer token exchange</w:t>
            </w:r>
          </w:p>
        </w:tc>
        <w:tc>
          <w:p w14:paraId="00100052" w14:textId="00100053">
            <w:r>
              <w:t xml:space="preserve">Secures all API calls; token cached and auto-refreshed client-side</w:t>
            </w:r>
          </w:p>
        </w:tc>
      </w:tr>
      <w:tr>
        <w:trPr/>
        <w:tc>
          <w:p w14:paraId="00100054" w14:textId="00100055">
            <w:r>
              <w:t xml:space="preserve">Project Platform</w:t>
            </w:r>
          </w:p>
        </w:tc>
        <w:tc>
          <w:p w14:paraId="00100056" w14:textId="00100057">
            <w:r>
              <w:t xml:space="preserve">IBM Watson Studio (watsonx.ai)</w:t>
            </w:r>
          </w:p>
        </w:tc>
        <w:tc>
          <w:p w14:paraId="00100058" w14:textId="00100059">
            <w:r>
              <w:t xml:space="preserve">Provides the project container that associates WML compute with the API</w:t>
            </w:r>
          </w:p>
        </w:tc>
      </w:tr>
    </w:tbl>
    <w:p w14:paraId="0010005A" w14:textId="0010005B">
      <w:pPr>
        <w:pStyle w:val="Heading1"/>
        <w:spacing w:before="240" w:after="120"/>
      </w:pPr>
      <w:r>
        <w:rPr>
          <w:b/>
          <w:sz w:val="32"/>
        </w:rPr>
        <w:t xml:space="preserve">5. System Architecture</w:t>
      </w:r>
    </w:p>
    <w:p w14:paraId="0010005C" w14:textId="0010005D">
      <w:pPr>
        <w:pStyle w:val="Heading2"/>
        <w:spacing w:before="160" w:after="80"/>
      </w:pPr>
      <w:r>
        <w:rPr>
          <w:b/>
          <w:sz w:val="26"/>
        </w:rPr>
        <w:t xml:space="preserve">5.1 Frontend (Next.js 14)</w:t>
      </w:r>
    </w:p>
    <w:p w14:paraId="0010005E" w14:textId="0010005F">
      <w:pPr>
        <w:spacing w:after="160"/>
      </w:pPr>
      <w:r>
        <w:rPr>
          <w:sz w:val="22"/>
        </w:rPr>
        <w:t xml:space="preserve">A split-pane web application built with Next.js 14 and TypeScript. The left panel provides a conversational chat interface with diagram type and style selectors, example prompts, and a generate/refine input field. The right panel displays syntax-highlighted TikZ code with line numbers, a character/line count footer, and action buttons for Copy, Download, Explain, and Wrap Document. The IBM Carbon design language is applied throughout.</w:t>
      </w:r>
    </w:p>
    <w:p w14:paraId="00100060" w14:textId="00100061">
      <w:pPr>
        <w:pStyle w:val="Heading2"/>
        <w:spacing w:before="160" w:after="80"/>
      </w:pPr>
      <w:r>
        <w:rPr>
          <w:b/>
          <w:sz w:val="26"/>
        </w:rPr>
        <w:t xml:space="preserve">5.2 API Layer (Next.js Route Handlers)</w:t>
      </w:r>
    </w:p>
    <w:p w14:paraId="00100062" w14:textId="00100063">
      <w:pPr>
        <w:spacing w:after="160"/>
      </w:pPr>
      <w:r>
        <w:rPr>
          <w:sz w:val="22"/>
        </w:rPr>
        <w:t xml:space="preserve">A server-side API route proxies all requests to the IBM Watson Machine Learning endpoint. It handles IBM Cloud IAM authentication (API key to Bearer token exchange with automatic token caching and refresh), constructs Llama 3 chat-format prompts, and dispatches four action types: generate, refine, explain, and wrap.</w:t>
      </w:r>
    </w:p>
    <w:p w14:paraId="00100064" w14:textId="00100065">
      <w:pPr>
        <w:pStyle w:val="Heading2"/>
        <w:spacing w:before="160" w:after="80"/>
      </w:pPr>
      <w:r>
        <w:rPr>
          <w:b/>
          <w:sz w:val="26"/>
        </w:rPr>
        <w:t xml:space="preserve">5.3 MCP Server (Node.js / TypeScript)</w:t>
      </w:r>
    </w:p>
    <w:p w14:paraId="00100066" w14:textId="00100067">
      <w:pPr>
        <w:spacing w:after="160"/>
      </w:pPr>
      <w:r>
        <w:rPr>
          <w:sz w:val="22"/>
        </w:rPr>
        <w:t xml:space="preserve">A standalone stdio MCP server exposes five tools to IBM Bob: generate_tikz, refine_tikz, explain_tikz, generate_latex_document, and list_diagram_templates. It uses the same IAM token cache and Granite inference pipeline as the web frontend, allowing Bob to generate and refine diagrams directly within the IDE without opening the web interface.</w:t>
      </w:r>
    </w:p>
    <w:p w14:paraId="00100068" w14:textId="00100069">
      <w:pPr>
        <w:pStyle w:val="Heading1"/>
        <w:spacing w:before="240" w:after="120"/>
      </w:pPr>
      <w:r>
        <w:rPr>
          <w:b/>
          <w:sz w:val="32"/>
        </w:rPr>
        <w:t xml:space="preserve">6. Expected Outcomes</w:t>
      </w:r>
    </w:p>
    <w:p w14:paraId="0010006A" w14:textId="0010006B">
      <w:pPr>
        <w:numPr>
          <w:ilvl w:val="0"/>
          <w:numId w:val="3"/>
        </w:numPr>
        <w:spacing w:after="80"/>
      </w:pPr>
      <w:r>
        <w:rPr>
          <w:sz w:val="22"/>
        </w:rPr>
        <w:t xml:space="preserve">Productivity Improvement: Reduction in diagram creation time from 30–120 minutes (manual TikZ coding) to under 2 minutes (AI generation + refinement).</w:t>
      </w:r>
    </w:p>
    <w:p w14:paraId="0010006C" w14:textId="0010006D">
      <w:pPr>
        <w:numPr>
          <w:ilvl w:val="0"/>
          <w:numId w:val="3"/>
        </w:numPr>
        <w:spacing w:after="80"/>
      </w:pPr>
      <w:r>
        <w:rPr>
          <w:sz w:val="22"/>
        </w:rPr>
        <w:t xml:space="preserve">Accessibility: Non-LaTeX specialists can produce publication-quality diagrams without learning TikZ syntax.</w:t>
      </w:r>
    </w:p>
    <w:p w14:paraId="0010006E" w14:textId="0010006F">
      <w:pPr>
        <w:numPr>
          <w:ilvl w:val="0"/>
          <w:numId w:val="3"/>
        </w:numPr>
        <w:spacing w:after="80"/>
      </w:pPr>
      <w:r>
        <w:rPr>
          <w:sz w:val="22"/>
        </w:rPr>
        <w:t xml:space="preserve">Quality: Generated diagrams follow academic publication conventions with proper ANSI/ISO symbols, positioning library usage, and clean TikZ structure.</w:t>
      </w:r>
    </w:p>
    <w:p w14:paraId="00100070" w14:textId="00100071">
      <w:pPr>
        <w:numPr>
          <w:ilvl w:val="0"/>
          <w:numId w:val="3"/>
        </w:numPr>
        <w:spacing w:after="80"/>
      </w:pPr>
      <w:r>
        <w:rPr>
          <w:sz w:val="22"/>
        </w:rPr>
        <w:t xml:space="preserve">Iterative Workflow: The generate-refine loop reduces the friction of diagram iteration, enabling researchers to achieve their exact visual intent through conversation rather than code.</w:t>
      </w:r>
    </w:p>
    <w:p w14:paraId="00100072" w14:textId="00100073">
      <w:pPr>
        <w:numPr>
          <w:ilvl w:val="0"/>
          <w:numId w:val="3"/>
        </w:numPr>
        <w:spacing w:after="160"/>
      </w:pPr>
      <w:r>
        <w:rPr>
          <w:sz w:val="22"/>
        </w:rPr>
        <w:t xml:space="preserve">IDE Integration: Through the MCP server, diagram generation is available directly inside the coding environment, keeping researchers in their primary workflow.</w:t>
      </w:r>
    </w:p>
    <w:p w14:paraId="00100074" w14:textId="00100075">
      <w:pPr>
        <w:pStyle w:val="Heading1"/>
        <w:spacing w:before="240" w:after="120"/>
      </w:pPr>
      <w:r>
        <w:rPr>
          <w:b/>
          <w:sz w:val="32"/>
        </w:rPr>
        <w:t xml:space="preserve">7. Constraints and Limitations</w:t>
      </w:r>
    </w:p>
    <w:p w14:paraId="00100076" w14:textId="00100077">
      <w:pPr>
        <w:numPr>
          <w:ilvl w:val="0"/>
          <w:numId w:val="4"/>
        </w:numPr>
        <w:spacing w:after="80"/>
      </w:pPr>
      <w:r>
        <w:rPr>
          <w:sz w:val="22"/>
        </w:rPr>
        <w:t xml:space="preserve">Model Availability: The solution requires an IBM Cloud account with a Watson Studio project associated with a Watson Machine Learning (watsonx.ai Runtime) service instance. Available foundation models depend on account type and region.</w:t>
      </w:r>
    </w:p>
    <w:p w14:paraId="00100078" w14:textId="00100079">
      <w:pPr>
        <w:numPr>
          <w:ilvl w:val="0"/>
          <w:numId w:val="4"/>
        </w:numPr>
        <w:spacing w:after="80"/>
      </w:pPr>
      <w:r>
        <w:rPr>
          <w:sz w:val="22"/>
        </w:rPr>
        <w:t xml:space="preserve">Compilation Verification: The system produces TikZ code but does not compile it server-side. Researchers must compile the output locally using pdflatex or xelatex to verify the rendered result.</w:t>
      </w:r>
    </w:p>
    <w:p w14:paraId="0010007A" w14:textId="0010007B">
      <w:pPr>
        <w:numPr>
          <w:ilvl w:val="0"/>
          <w:numId w:val="4"/>
        </w:numPr>
        <w:spacing w:after="80"/>
      </w:pPr>
      <w:r>
        <w:rPr>
          <w:sz w:val="22"/>
        </w:rPr>
        <w:t xml:space="preserve">Diagram Complexity: Very large or highly custom diagrams (50+ nodes, complex 3D perspectives) may require manual post-editing of the generated code.</w:t>
      </w:r>
    </w:p>
    <w:p w14:paraId="0010007C" w14:textId="0010007D">
      <w:pPr>
        <w:numPr>
          <w:ilvl w:val="0"/>
          <w:numId w:val="4"/>
        </w:numPr>
        <w:spacing w:after="160"/>
      </w:pPr>
      <w:r>
        <w:rPr>
          <w:sz w:val="22"/>
        </w:rPr>
        <w:t xml:space="preserve">Context Length: The Llama 3.3 70B model imposes a practical token limit on diagram complexity per generation call.</w:t>
      </w:r>
    </w:p>
    <w:p w14:paraId="0010007E" w14:textId="0010007F">
      <w:pPr>
        <w:pStyle w:val="Heading1"/>
        <w:spacing w:before="240" w:after="120"/>
      </w:pPr>
      <w:r>
        <w:rPr>
          <w:b/>
          <w:sz w:val="32"/>
        </w:rPr>
        <w:t xml:space="preserve">8. Conclusion</w:t>
      </w:r>
    </w:p>
    <w:p w14:paraId="00100080" w14:textId="00100081">
      <w:pPr>
        <w:spacing w:after="240"/>
      </w:pPr>
      <w:r>
        <w:rPr>
          <w:sz w:val="22"/>
        </w:rPr>
        <w:t xml:space="preserve">The AI-Powered LaTeX Diagram Generator addresses a well-defined, high-impact pain point in academic research: the manual effort required to produce professional TikZ diagrams. By combining IBM's enterprise AI infrastructure (Watson Studio, Watson Machine Learning) with a conversational interface and an MCP integration layer, it delivers a solution that is immediately useful to researchers, accessible to non-experts, and deeply integrated into existing LaTeX and IDE workflows. The system demonstrates how generative AI can automate domain-specific code generation tasks to dramatically reduce the time-to-publication for academic work.</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e1bddec4e0ab4475" /><Relationship Type="http://schemas.openxmlformats.org/officeDocument/2006/relationships/styles" Target="/word/styles.xml" Id="R47a61cbb0b34426a" /><Relationship Type="http://schemas.openxmlformats.org/officeDocument/2006/relationships/theme" Target="/word/theme/theme1.xml" Id="Rd978cefd90774638" /><Relationship Type="http://schemas.openxmlformats.org/officeDocument/2006/relationships/numbering" Target="/word/numbering.xml" Id="R58e681d18619458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2026-09-11T18:09:43Z</dcterms:created>
  <cp:lastModifiedBy>OfficeCLI</cp:lastModifiedBy>
  <dcterms:modified xsi:type="dcterms:W3CDTF">2026-09-11T18:09:43Z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1.0.149</vt:lpwstr>
  </op:property>
  <op:property fmtid="{D5CDD505-2E9C-101B-9397-08002B2CF9AE}" pid="3" name="OfficeCLI.LastModified">
    <vt:lpwstr xmlns:vt="http://schemas.openxmlformats.org/officeDocument/2006/docPropsVTypes">2026-09-11T18:10:08Z</vt:lpwstr>
  </op:property>
</op:Properties>
</file>