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88" w:lineRule="auto"/>
        <w:jc w:val="center"/>
      </w:pPr>
      <w:r>
        <w:rPr>
          <w:rFonts w:ascii="serif" w:hAnsi="serif"/>
          <w:sz w:val="38"/>
        </w:rPr>
        <w:t>Spectral Gaps of Random Walks on Cayley Graphs</w:t>
      </w:r>
    </w:p>
    <w:p>
      <w:pPr>
        <w:spacing w:line="288" w:lineRule="auto"/>
        <w:jc w:val="center"/>
      </w:pPr>
      <w:r>
        <w:rPr>
          <w:rFonts w:ascii="serif" w:hAnsi="serif"/>
          <w:sz w:val="22"/>
        </w:rPr>
        <w:t>Aslam SDM</w:t>
      </w:r>
    </w:p>
    <w:p>
      <w:pPr>
        <w:spacing w:line="288" w:lineRule="auto"/>
        <w:jc w:val="center"/>
      </w:pPr>
      <w:r>
        <w:rPr>
          <w:rFonts w:ascii="serif" w:hAnsi="serif"/>
          <w:sz w:val="22"/>
        </w:rPr>
        <w:t>2026-08-16</w:t>
      </w:r>
    </w:p>
    <w:p>
      <w:pPr>
        <w:spacing w:line="288" w:lineRule="auto"/>
        <w:jc w:val="center"/>
      </w:pPr>
      <w:r>
        <w:rPr>
          <w:rFonts w:ascii="serif" w:hAnsi="serif"/>
          <w:b/>
          <w:sz w:val="22"/>
        </w:rPr>
        <w:t>Abstract</w:t>
      </w:r>
    </w:p>
    <w:p>
      <w:pPr>
        <w:spacing w:line="288" w:lineRule="auto"/>
        <w:jc w:val="center"/>
      </w:pPr>
      <w:r>
        <w:rPr>
          <w:rFonts w:ascii="serif" w:hAnsi="serif"/>
          <w:sz w:val="22"/>
        </w:rPr>
        <w:t>This abstract presents the core information of the document in a concise manner. It remains faithful to the original content while adhering to the two-sentence requirement.</w:t>
      </w:r>
    </w:p>
    <w:p>
      <w:pPr>
        <w:spacing w:line="288" w:lineRule="auto"/>
      </w:pPr>
      <w:r>
        <w:rPr>
          <w:rFonts w:ascii="serif" w:hAnsi="serif"/>
          <w:sz w:val="22"/>
        </w:rPr>
        <w:t>We establish sharp spectral gap estimates for random walks on Cayley</w:t>
        <w:br/>
        <w:t>graphs of finite groups, extending the classical Kesten bound to</w:t>
        <w:br/>
        <w:t>non-abelian settings.</w:t>
      </w:r>
    </w:p>
    <w:p>
      <w:pPr>
        <w:pStyle w:val="Heading2"/>
      </w:pPr>
      <w:r>
        <w:rPr/>
        <w:t>Table of Contents</w:t>
      </w:r>
    </w:p>
    <w:p>
      <w:pPr>
        <w:pStyle w:val="ListBullet"/>
      </w:pPr>
      <w:r>
        <w:rPr/>
        <w:t>Spectral Gaps of Random Walks on Cayley Graphs</w:t>
      </w:r>
    </w:p>
    <w:p>
      <w:pPr>
        <w:pStyle w:val="ListBullet"/>
      </w:pPr>
      <w:r>
        <w:rPr/>
        <w:t>1  Introduction</w:t>
      </w:r>
    </w:p>
    <w:p>
      <w:pPr>
        <w:pStyle w:val="ListBullet"/>
      </w:pPr>
      <w:r>
        <w:rPr/>
        <w:t>2  Introduction</w:t>
      </w:r>
    </w:p>
    <w:p>
      <w:pPr>
        <w:pStyle w:val="ListBullet"/>
      </w:pPr>
      <w:r>
        <w:rPr/>
        <w:t>3  Main Results</w:t>
      </w:r>
    </w:p>
    <w:p>
      <w:pPr>
        <w:pStyle w:val="ListBullet"/>
      </w:pPr>
      <w:r>
        <w:rPr/>
        <w:t>4  Main Results</w:t>
      </w:r>
    </w:p>
    <w:p>
      <w:pPr>
        <w:pStyle w:val="ListBullet"/>
      </w:pPr>
      <w:r>
        <w:rPr/>
        <w:t>5  Proofs</w:t>
      </w:r>
    </w:p>
    <w:p>
      <w:pPr>
        <w:pStyle w:val="ListBullet"/>
      </w:pPr>
      <w:r>
        <w:rPr/>
        <w:t>6  Proofs</w:t>
      </w:r>
    </w:p>
    <w:p>
      <w:pPr>
        <w:pStyle w:val="ListBullet2"/>
      </w:pPr>
      <w:r>
        <w:rPr/>
        <w:t>6.1  The localized Poincaré</w:t>
        <w:br/>
        <w:t>inequality</w:t>
      </w:r>
    </w:p>
    <w:p>
      <w:pPr>
        <w:pStyle w:val="ListBullet2"/>
      </w:pPr>
      <w:r>
        <w:rPr/>
        <w:t>6.2  Interpolation and the spectral</w:t>
        <w:br/>
        <w:t>radius</w:t>
      </w:r>
    </w:p>
    <w:p>
      <w:pPr>
        <w:pStyle w:val="ListBullet"/>
      </w:pPr>
      <w:r>
        <w:rPr/>
        <w:t>7  Discussion and Open Problems</w:t>
      </w:r>
    </w:p>
    <w:p>
      <w:pPr>
        <w:pStyle w:val="ListBullet"/>
      </w:pPr>
      <w:r>
        <w:rPr/>
        <w:t>8  Discussion and Open ProblemsReferences</w:t>
      </w:r>
    </w:p>
    <w:p>
      <w:pPr>
        <w:pStyle w:val="Heading1"/>
        <w:spacing w:line="288" w:lineRule="auto"/>
      </w:pPr>
      <w:r>
        <w:rPr>
          <w:rFonts w:ascii="serif" w:hAnsi="serif"/>
          <w:sz w:val="31"/>
        </w:rPr>
        <w:t>1  Introduction</w:t>
      </w:r>
    </w:p>
    <w:p>
      <w:pPr>
        <w:pStyle w:val="Heading1"/>
        <w:spacing w:line="288" w:lineRule="auto"/>
      </w:pPr>
      <w:r>
        <w:rPr>
          <w:rFonts w:ascii="serif" w:hAnsi="serif"/>
          <w:sz w:val="31"/>
        </w:rPr>
        <w:t>2  Introduction</w:t>
      </w:r>
    </w:p>
    <w:p>
      <w:pPr>
        <w:spacing w:line="288" w:lineRule="auto"/>
      </w:pPr>
      <w:r>
        <w:rPr>
          <w:rFonts w:ascii="serif" w:hAnsi="serif"/>
          <w:sz w:val="22"/>
        </w:rPr>
        <w:t>Random walks on groups are among the most studied objects in</w:t>
        <w:br/>
        <w:t>probability theory and harmonic analysis. Given a finitely generated</w:t>
        <w:br/>
        <w:t>group</w:t>
        <w:br/>
      </w:r>
      <m:oMath>
        <m:r>
          <m:t xml:space="preserve">G</m:t>
        </m:r>
      </m:oMath>
      <w:r>
        <w:rPr>
          <w:rFonts w:ascii="serif" w:hAnsi="serif"/>
          <w:sz w:val="22"/>
        </w:rPr>
        <w:br/>
        <w:t>with a symmetric generating set</w:t>
        <w:br/>
      </w:r>
      <m:oMath>
        <m:r>
          <m:t xml:space="preserve">S</m:t>
        </m:r>
      </m:oMath>
      <w:r>
        <w:rPr>
          <w:rFonts w:ascii="serif" w:hAnsi="serif"/>
          <w:sz w:val="22"/>
        </w:rPr>
        <w:t>,</w:t>
        <w:br/>
        <w:t>the simple random walk has transition kernel</w:t>
        <w:br/>
      </w:r>
      <m:oMathPara>
        <m:oMath>
          <m:r>
            <m:t xml:space="preserve">P(x, y) = </m:t>
          </m:r>
          <m:f>
            <m:num>
              <m:r>
                <m:t xml:space="preserve">1</m:t>
              </m:r>
            </m:num>
            <m:den>
              <m:r>
                <m:t xml:space="preserve">|S|</m:t>
              </m:r>
            </m:den>
          </m:f>
          <m:r>
            <m:t xml:space="preserve">   </m:t>
          </m:r>
          <m:sSub>
            <m:e>
              <m:r>
                <m:t xml:space="preserve">1</m:t>
              </m:r>
            </m:e>
            <m:sub>
              <m:r>
                <m:t xml:space="preserve">y ∈ x S</m:t>
              </m:r>
            </m:sub>
          </m:sSub>
          <m:r>
            <m:t xml:space="preserve">,</m:t>
          </m:r>
        </m:oMath>
      </m:oMathPara>
      <w:r>
        <w:rPr>
          <w:rFonts w:ascii="serif" w:hAnsi="serif"/>
          <w:sz w:val="22"/>
        </w:rPr>
        <w:t xml:space="preserve"> and its</w:t>
        <w:br/>
      </w:r>
      <m:oMath>
        <m:r>
          <m:t xml:space="preserve">n</m:t>
        </m:r>
      </m:oMath>
      <w:r>
        <w:rPr>
          <w:rFonts w:ascii="serif" w:hAnsi="serif"/>
          <w:sz w:val="22"/>
        </w:rPr>
        <w:t>-step</w:t>
        <w:br/>
        <w:t>return probabilities</w:t>
        <w:br/>
      </w:r>
      <m:oMath>
        <m:sSup>
          <m:e>
            <m:r>
              <m:t xml:space="preserve">p</m:t>
            </m:r>
          </m:e>
          <m:sup>
            <m:r>
              <m:t xml:space="preserve">(n)</m:t>
            </m:r>
          </m:sup>
        </m:sSup>
        <m:r>
          <m:t xml:space="preserve">(e)</m:t>
        </m:r>
      </m:oMath>
      <w:r>
        <w:rPr>
          <w:rFonts w:ascii="serif" w:hAnsi="serif"/>
          <w:sz w:val="22"/>
        </w:rPr>
        <w:br/>
        <w:t>govern mixing, entropy, and spectral phenomena. A central object is the</w:t>
        <w:br/>
      </w:r>
      <w:r>
        <w:rPr>
          <w:rFonts w:ascii="serif" w:hAnsi="serif"/>
          <w:i/>
          <w:sz w:val="22"/>
        </w:rPr>
        <w:t>spectral radius</w:t>
      </w:r>
      <w:r>
        <w:rPr>
          <w:rFonts w:ascii="serif" w:hAnsi="serif"/>
          <w:sz w:val="22"/>
        </w:rPr>
        <w:br/>
      </w:r>
      <m:oMathPara>
        <m:oMath>
          <m:r>
            <m:t xml:space="preserve">ρ(G, S) = </m:t>
          </m:r>
          <m:sSub>
            <m:e>
              <m:r>
                <m:t xml:space="preserve">limsup</m:t>
              </m:r>
            </m:e>
            <m:sub>
              <m:r>
                <m:t xml:space="preserve">n → ∞</m:t>
              </m:r>
            </m:sub>
          </m:sSub>
          <m:r>
            <m:t xml:space="preserve"> </m:t>
          </m:r>
          <m:sSup>
            <m:e>
              <m:r>
                <m:t xml:space="preserve">p</m:t>
              </m:r>
            </m:e>
            <m:sup>
              <m:r>
                <m:t xml:space="preserve">(n)</m:t>
              </m:r>
            </m:sup>
          </m:sSup>
          <m:r>
            <m:t xml:space="preserve">(e</m:t>
          </m:r>
          <m:sSup>
            <m:e>
              <m:r>
                <m:t xml:space="preserve">)</m:t>
              </m:r>
            </m:e>
            <m:sup>
              <m:r>
                <m:t xml:space="preserve">1/n</m:t>
              </m:r>
            </m:sup>
          </m:sSup>
          <m:r>
            <m:t xml:space="preserve">.</m:t>
          </m:r>
        </m:oMath>
      </m:oMathPara>
    </w:p>
    <w:p>
      <w:pPr>
        <w:spacing w:line="288" w:lineRule="auto"/>
      </w:pPr>
      <w:r>
        <w:rPr>
          <w:rFonts w:ascii="serif" w:hAnsi="serif"/>
          <w:sz w:val="22"/>
        </w:rPr>
        <w:t>For free groups, Kesten proved</w:t>
        <w:br/>
      </w:r>
      <m:oMath>
        <m:r>
          <m:t xml:space="preserve">ρ = </m:t>
        </m:r>
        <m:f>
          <m:num>
            <m:r>
              <m:t xml:space="preserve">2</m:t>
            </m:r>
            <m:rad>
              <m:radPr>
                <m:degHide m:val="1"/>
              </m:radPr>
              <m:deg/>
              <m:e>
                <m:r>
                  <m:t xml:space="preserve">|S|-1</m:t>
                </m:r>
              </m:e>
            </m:rad>
          </m:num>
          <m:den>
            <m:r>
              <m:t xml:space="preserve">|S|</m:t>
            </m:r>
          </m:den>
        </m:f>
      </m:oMath>
      <w:r>
        <w:rPr>
          <w:rFonts w:ascii="serif" w:hAnsi="serif"/>
          <w:sz w:val="22"/>
        </w:rPr>
        <w:t>,</w:t>
        <w:br/>
        <w:t>and it is known that</w:t>
        <w:br/>
      </w:r>
      <m:oMath>
        <m:r>
          <m:t xml:space="preserve">ρ = 1</m:t>
        </m:r>
      </m:oMath>
      <w:r>
        <w:rPr>
          <w:rFonts w:ascii="serif" w:hAnsi="serif"/>
          <w:sz w:val="22"/>
        </w:rPr>
        <w:br/>
        <w:t xml:space="preserve">characterizes amenability </w:t>
      </w:r>
      <w:r>
        <w:rPr>
          <w:rFonts w:ascii="serif" w:hAnsi="serif"/>
          <w:sz w:val="22"/>
        </w:rPr>
        <w:t>(Kesten 1959; Woess 2000)</w:t>
      </w:r>
      <w:r>
        <w:rPr>
          <w:rFonts w:ascii="serif" w:hAnsi="serif"/>
          <w:sz w:val="22"/>
        </w:rPr>
        <w:t>. Our</w:t>
        <w:br/>
        <w:t xml:space="preserve">aim is a quantitative refinement of these facts for </w:t>
      </w:r>
      <w:r>
        <w:rPr>
          <w:rFonts w:ascii="serif" w:hAnsi="serif"/>
          <w:i/>
          <w:sz w:val="22"/>
        </w:rPr>
        <w:t>finite</w:t>
      </w:r>
      <w:r>
        <w:rPr>
          <w:rFonts w:ascii="serif" w:hAnsi="serif"/>
          <w:sz w:val="22"/>
        </w:rPr>
        <w:br/>
        <w:t>groups, where the analogue of</w:t>
        <w:br/>
      </w:r>
      <m:oMath>
        <m:r>
          <m:t xml:space="preserve">ρ</m:t>
        </m:r>
      </m:oMath>
      <w:r>
        <w:rPr>
          <w:rFonts w:ascii="serif" w:hAnsi="serif"/>
          <w:sz w:val="22"/>
        </w:rPr>
        <w:br/>
        <w:t>is the second-largest eigenvalue</w:t>
        <w:br/>
      </w:r>
      <m:oMath>
        <m:sSub>
          <m:e>
            <m:r>
              <m:t xml:space="preserve">λ</m:t>
            </m:r>
          </m:e>
          <m:sub>
            <m:r>
              <m:t xml:space="preserve">1</m:t>
            </m:r>
          </m:sub>
        </m:sSub>
      </m:oMath>
      <w:r>
        <w:rPr>
          <w:rFonts w:ascii="serif" w:hAnsi="serif"/>
          <w:sz w:val="22"/>
        </w:rPr>
        <w:br/>
        <w:t>of</w:t>
        <w:br/>
      </w:r>
      <m:oMath>
        <m:r>
          <m:t xml:space="preserve">P</m:t>
        </m:r>
      </m:oMath>
      <w:r>
        <w:rPr>
          <w:rFonts w:ascii="serif" w:hAnsi="serif"/>
          <w:sz w:val="22"/>
        </w:rPr>
        <w:t>,</w:t>
        <w:br/>
        <w:t xml:space="preserve">and the </w:t>
      </w:r>
      <w:r>
        <w:rPr>
          <w:rFonts w:ascii="serif" w:hAnsi="serif"/>
          <w:i/>
          <w:sz w:val="22"/>
        </w:rPr>
        <w:t>spectral gap</w:t>
      </w:r>
      <w:r>
        <w:rPr>
          <w:rFonts w:ascii="serif" w:hAnsi="serif"/>
          <w:sz w:val="22"/>
        </w:rPr>
        <w:t xml:space="preserve"> is</w:t>
        <w:br/>
      </w:r>
      <m:oMath>
        <m:r>
          <m:t xml:space="preserve">1 - </m:t>
        </m:r>
        <m:sSub>
          <m:e>
            <m:r>
              <m:t xml:space="preserve">λ</m:t>
            </m:r>
          </m:e>
          <m:sub>
            <m:r>
              <m:t xml:space="preserve">1</m:t>
            </m:r>
          </m:sub>
        </m:sSub>
      </m:oMath>
      <w:r>
        <w:rPr>
          <w:rFonts w:ascii="serif" w:hAnsi="serif"/>
          <w:sz w:val="22"/>
        </w:rPr>
        <w:t>.</w:t>
      </w:r>
    </w:p>
    <w:p>
      <w:pPr>
        <w:spacing w:line="288" w:lineRule="auto"/>
      </w:pPr>
      <w:r>
        <w:rPr>
          <w:rFonts w:ascii="serif" w:hAnsi="serif"/>
          <w:sz w:val="22"/>
        </w:rPr>
        <w:t>We work throughout with the normalized counting measure, and we write</w:t>
        <w:br/>
      </w:r>
      <m:oMath>
        <m:r>
          <m:t xml:space="preserve">|A|</m:t>
        </m:r>
      </m:oMath>
      <w:r>
        <w:rPr>
          <w:rFonts w:ascii="serif" w:hAnsi="serif"/>
          <w:sz w:val="22"/>
        </w:rPr>
        <w:br/>
        <w:t>for the cardinality of a set</w:t>
        <w:br/>
      </w:r>
      <m:oMath>
        <m:r>
          <m:t xml:space="preserve">A</m:t>
        </m:r>
      </m:oMath>
      <w:r>
        <w:rPr>
          <w:rFonts w:ascii="serif" w:hAnsi="serif"/>
          <w:sz w:val="22"/>
        </w:rPr>
        <w:t>.</w:t>
        <w:br/>
        <w:t>The Cayley graph</w:t>
        <w:br/>
      </w:r>
      <m:oMath>
        <m:r>
          <m:t xml:space="preserve">Γ(G, S)</m:t>
        </m:r>
      </m:oMath>
      <w:r>
        <w:rPr>
          <w:rFonts w:ascii="serif" w:hAnsi="serif"/>
          <w:sz w:val="22"/>
        </w:rPr>
        <w:br/>
        <w:t>is regular of degree</w:t>
        <w:br/>
      </w:r>
      <m:oMath>
        <m:r>
          <m:t xml:space="preserve">d = |S|</m:t>
        </m:r>
      </m:oMath>
      <w:r>
        <w:rPr>
          <w:rFonts w:ascii="serif" w:hAnsi="serif"/>
          <w:sz w:val="22"/>
        </w:rPr>
        <w:t>;</w:t>
        <w:br/>
        <w:t>its adjacency operator acts on</w:t>
        <w:br/>
      </w:r>
      <m:oMath>
        <m:sSup>
          <m:e>
            <m:r>
              <m:t xml:space="preserve">ℓ</m:t>
            </m:r>
          </m:e>
          <m:sup>
            <m:r>
              <m:t xml:space="preserve">2</m:t>
            </m:r>
          </m:sup>
        </m:sSup>
        <m:r>
          <m:t xml:space="preserve">(G)</m:t>
        </m:r>
      </m:oMath>
      <w:r>
        <w:rPr>
          <w:rFonts w:ascii="serif" w:hAnsi="serif"/>
          <w:sz w:val="22"/>
        </w:rPr>
        <w:t>.</w:t>
        <w:br/>
        <w:t xml:space="preserve">The reader is referred to </w:t>
      </w:r>
      <w:r>
        <w:rPr>
          <w:rFonts w:ascii="serif" w:hAnsi="serif"/>
          <w:sz w:val="22"/>
        </w:rPr>
        <w:t>(Diaconis 1988)</w:t>
      </w:r>
      <w:r>
        <w:rPr>
          <w:rFonts w:ascii="serif" w:hAnsi="serif"/>
          <w:sz w:val="22"/>
        </w:rPr>
        <w:t xml:space="preserve"> for background on random</w:t>
        <w:br/>
        <w:t xml:space="preserve">walks on groups and to </w:t>
      </w:r>
      <w:r>
        <w:rPr>
          <w:rFonts w:ascii="serif" w:hAnsi="serif"/>
          <w:sz w:val="22"/>
        </w:rPr>
        <w:t>(Lubotzky 1994)</w:t>
      </w:r>
      <w:r>
        <w:rPr>
          <w:rFonts w:ascii="serif" w:hAnsi="serif"/>
          <w:sz w:val="22"/>
        </w:rPr>
        <w:t xml:space="preserve"> for expander</w:t>
        <w:br/>
        <w:t>constructions.</w:t>
      </w:r>
    </w:p>
    <w:p>
      <w:pPr>
        <w:spacing w:line="288" w:lineRule="auto"/>
      </w:pPr>
      <w:r>
        <w:rPr>
          <w:rFonts w:ascii="serif" w:hAnsi="serif"/>
          <w:i/>
          <w:sz w:val="22"/>
        </w:rPr>
        <w:t>Remark 1</w:t>
      </w:r>
      <w:r>
        <w:rPr>
          <w:rFonts w:ascii="serif" w:hAnsi="serif"/>
          <w:sz w:val="22"/>
        </w:rPr>
        <w:t xml:space="preserve"> (Notation). All logarithms are natural, and</w:t>
        <w:br/>
      </w:r>
      <m:oMath>
        <m:r>
          <m:t xml:space="preserve">e</m:t>
        </m:r>
      </m:oMath>
      <w:r>
        <w:rPr>
          <w:rFonts w:ascii="serif" w:hAnsi="serif"/>
          <w:sz w:val="22"/>
        </w:rPr>
        <w:br/>
        <w:t>denotes the identity element of the group as well as Euler’s number;</w:t>
        <w:br/>
        <w:t>context disambiguates the two.</w:t>
      </w:r>
      <w:r>
        <w:rPr>
          <w:vertAlign w:val="superscript"/>
        </w:rPr>
        <w:footnoteReference w:id="1"/>
      </w:r>
    </w:p>
    <w:p>
      <w:pPr>
        <w:pStyle w:val="Heading1"/>
        <w:spacing w:line="288" w:lineRule="auto"/>
      </w:pPr>
      <w:r>
        <w:rPr>
          <w:rFonts w:ascii="serif" w:hAnsi="serif"/>
          <w:sz w:val="31"/>
        </w:rPr>
        <w:t>3  Main Results</w:t>
      </w:r>
    </w:p>
    <w:p>
      <w:pPr>
        <w:pStyle w:val="Heading1"/>
        <w:spacing w:line="288" w:lineRule="auto"/>
      </w:pPr>
      <w:r>
        <w:rPr>
          <w:rFonts w:ascii="serif" w:hAnsi="serif"/>
          <w:sz w:val="31"/>
        </w:rPr>
        <w:t>4  Main Results</w:t>
      </w:r>
    </w:p>
    <w:p>
      <w:pPr>
        <w:spacing w:line="288" w:lineRule="auto"/>
      </w:pPr>
      <w:r>
        <w:rPr>
          <w:rFonts w:ascii="serif" w:hAnsi="serif"/>
          <w:sz w:val="22"/>
        </w:rPr>
        <w:t>Our first result gives a sharp lower bound on the spectral gap in</w:t>
        <w:br/>
        <w:t xml:space="preserve">terms of a new group-theoretic invariant, the </w:t>
      </w:r>
      <w:r>
        <w:rPr>
          <w:rFonts w:ascii="serif" w:hAnsi="serif"/>
          <w:i/>
          <w:sz w:val="22"/>
        </w:rPr>
        <w:t>local expansion</w:t>
        <w:br/>
        <w:t>ratio</w:t>
      </w:r>
      <w:r>
        <w:rPr>
          <w:rFonts w:ascii="serif" w:hAnsi="serif"/>
          <w:sz w:val="22"/>
        </w:rPr>
        <w:t>.</w:t>
      </w:r>
    </w:p>
    <w:p>
      <w:pPr>
        <w:spacing w:line="288" w:lineRule="auto"/>
      </w:pPr>
      <w:r>
        <w:rPr>
          <w:rFonts w:ascii="serif" w:hAnsi="serif"/>
          <w:b/>
          <w:sz w:val="22"/>
        </w:rPr>
        <w:t>Theorem 1</w:t>
      </w:r>
      <w:r>
        <w:rPr>
          <w:rFonts w:ascii="serif" w:hAnsi="serif"/>
          <w:sz w:val="22"/>
        </w:rPr>
        <w:t xml:space="preserve">. </w:t>
      </w:r>
      <w:r>
        <w:rPr>
          <w:rFonts w:ascii="serif" w:hAnsi="serif"/>
          <w:i/>
          <w:sz w:val="22"/>
        </w:rPr>
        <w:t>Let</w:t>
        <w:br/>
      </w:r>
      <m:oMath>
        <m:r>
          <m:t xml:space="preserve">G</m:t>
        </m:r>
      </m:oMath>
      <w:r>
        <w:rPr>
          <w:rFonts w:ascii="serif" w:hAnsi="serif"/>
          <w:i/>
          <w:sz w:val="22"/>
        </w:rPr>
        <w:br/>
        <w:t>be a finite group with a symmetric generating set</w:t>
        <w:br/>
      </w:r>
      <m:oMath>
        <m:r>
          <m:t xml:space="preserve">S</m:t>
        </m:r>
      </m:oMath>
      <w:r>
        <w:rPr>
          <w:rFonts w:ascii="serif" w:hAnsi="serif"/>
          <w:i/>
          <w:sz w:val="22"/>
        </w:rPr>
        <w:br/>
        <w:t>of size</w:t>
        <w:br/>
      </w:r>
      <m:oMath>
        <m:r>
          <m:t xml:space="preserve">d</m:t>
        </m:r>
      </m:oMath>
      <w:r>
        <w:rPr>
          <w:rFonts w:ascii="serif" w:hAnsi="serif"/>
          <w:i/>
          <w:sz w:val="22"/>
        </w:rPr>
        <w:t>,</w:t>
        <w:br/>
        <w:t>and let</w:t>
        <w:br/>
      </w:r>
      <m:oMath>
        <m:sSub>
          <m:e>
            <m:r>
              <m:t xml:space="preserve">λ</m:t>
            </m:r>
          </m:e>
          <m:sub>
            <m:r>
              <m:t xml:space="preserve">1</m:t>
            </m:r>
          </m:sub>
        </m:sSub>
      </m:oMath>
      <w:r>
        <w:rPr>
          <w:rFonts w:ascii="serif" w:hAnsi="serif"/>
          <w:i/>
          <w:sz w:val="22"/>
        </w:rPr>
        <w:br/>
        <w:t>be the second-largest eigenvalue of the simple random walk on</w:t>
        <w:br/>
      </w:r>
      <m:oMath>
        <m:r>
          <m:t xml:space="preserve">Γ(G, S)</m:t>
        </m:r>
      </m:oMath>
      <w:r>
        <w:rPr>
          <w:rFonts w:ascii="serif" w:hAnsi="serif"/>
          <w:i/>
          <w:sz w:val="22"/>
        </w:rPr>
        <w:t>.</w:t>
        <w:br/>
        <w:t>Then</w:t>
        <w:br/>
      </w:r>
      <m:oMathPara>
        <m:oMath>
          <m:r>
            <m:t xml:space="preserve">1 - </m:t>
          </m:r>
          <m:sSub>
            <m:e>
              <m:r>
                <m:t xml:space="preserve">λ</m:t>
              </m:r>
            </m:e>
            <m:sub>
              <m:r>
                <m:t xml:space="preserve">1</m:t>
              </m:r>
            </m:sub>
          </m:sSub>
          <m:r>
            <m:t xml:space="preserve">  ≥  </m:t>
          </m:r>
          <m:f>
            <m:num>
              <m:r>
                <m:t xml:space="preserve">c  h(G, S</m:t>
              </m:r>
              <m:sSup>
                <m:e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,</m:t>
          </m:r>
        </m:oMath>
      </m:oMathPara>
      <w:r>
        <w:rPr>
          <w:rFonts w:ascii="serif" w:hAnsi="serif"/>
          <w:i/>
          <w:sz w:val="22"/>
        </w:rPr>
        <w:t xml:space="preserve"> where</w:t>
        <w:br/>
      </w:r>
      <m:oMath>
        <m:r>
          <m:t xml:space="preserve">h(G, S)</m:t>
        </m:r>
      </m:oMath>
      <w:r>
        <w:rPr>
          <w:rFonts w:ascii="serif" w:hAnsi="serif"/>
          <w:i/>
          <w:sz w:val="22"/>
        </w:rPr>
        <w:br/>
        <w:t>is the local expansion ratio and</w:t>
        <w:br/>
      </w:r>
      <m:oMath>
        <m:r>
          <m:t xml:space="preserve">c &gt; 0</m:t>
        </m:r>
      </m:oMath>
      <w:r>
        <w:rPr>
          <w:rFonts w:ascii="serif" w:hAnsi="serif"/>
          <w:i/>
          <w:sz w:val="22"/>
        </w:rPr>
        <w:br/>
        <w:t>is an absolute constant.</w:t>
      </w:r>
    </w:p>
    <w:p>
      <w:pPr>
        <w:spacing w:line="288" w:lineRule="auto"/>
      </w:pPr>
      <w:r>
        <w:rPr>
          <w:rFonts w:ascii="serif" w:hAnsi="serif"/>
          <w:i/>
          <w:sz w:val="22"/>
        </w:rPr>
        <w:t>Proof.</w:t>
      </w:r>
      <w:r>
        <w:rPr>
          <w:rFonts w:ascii="serif" w:hAnsi="serif"/>
          <w:sz w:val="22"/>
        </w:rPr>
        <w:t xml:space="preserve"> We combine the Nash-type inequality of </w:t>
      </w:r>
      <w:r>
        <w:rPr>
          <w:rFonts w:ascii="serif" w:hAnsi="serif"/>
          <w:sz w:val="22"/>
        </w:rPr>
        <w:t>(Diaconis and</w:t>
        <w:br/>
        <w:t>Saloff-Coste 1996)</w:t>
      </w:r>
      <w:r>
        <w:rPr>
          <w:rFonts w:ascii="serif" w:hAnsi="serif"/>
          <w:sz w:val="22"/>
        </w:rPr>
        <w:t xml:space="preserve"> with a localized Poincaré inequality. For</w:t>
        <w:br/>
        <w:t>every function</w:t>
        <w:br/>
      </w:r>
      <m:oMath>
        <m:r>
          <m:t xml:space="preserve">f ∈ </m:t>
        </m:r>
        <m:sSup>
          <m:e>
            <m:r>
              <m:t xml:space="preserve">ℓ</m:t>
            </m:r>
          </m:e>
          <m:sup>
            <m:r>
              <m:t xml:space="preserve">2</m:t>
            </m:r>
          </m:sup>
        </m:sSup>
        <m:r>
          <m:t xml:space="preserve">(G)</m:t>
        </m:r>
      </m:oMath>
      <w:r>
        <w:rPr>
          <w:rFonts w:ascii="serif" w:hAnsi="serif"/>
          <w:sz w:val="22"/>
        </w:rPr>
        <w:br/>
        <w:t>with</w:t>
        <w:br/>
      </w:r>
      <m:oMath>
        <m:r>
          <m:t xml:space="preserve">E f = 0</m:t>
        </m:r>
      </m:oMath>
      <w:r>
        <w:rPr>
          <w:rFonts w:ascii="serif" w:hAnsi="serif"/>
          <w:sz w:val="22"/>
        </w:rPr>
        <w:t>,</w:t>
        <w:br/>
      </w:r>
      <m:oMathPara>
        <m:oMath>
          <m:f>
            <m:num>
              <m:r>
                <m:t xml:space="preserve">1</m:t>
              </m:r>
            </m:num>
            <m:den>
              <m:r>
                <m:t xml:space="preserve">|S|</m:t>
              </m:r>
            </m:den>
          </m:f>
          <m:r>
            <m:t xml:space="preserve"> 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s ∈ S</m:t>
              </m:r>
            </m:sub>
            <m:sup/>
            <m:e>
              <m:r>
                <m:t xml:space="preserve">\lVert</m:t>
              </m:r>
            </m:e>
          </m:nary>
          <m:r>
            <m:t xml:space="preserve"> f - </m:t>
          </m:r>
          <m:sSub>
            <m:e>
              <m:r>
                <m:t xml:space="preserve">f</m:t>
              </m:r>
            </m:e>
            <m:sub>
              <m:r>
                <m:t xml:space="preserve">s</m:t>
              </m:r>
            </m:sub>
          </m:sSub>
          <m:r>
            <m:t xml:space="preserve"> </m:t>
          </m:r>
          <m:sSubSup>
            <m:e>
              <m:r>
                <m:t xml:space="preserve">\rVert</m:t>
              </m:r>
            </m:e>
            <m:sub>
              <m:r>
                <m:t xml:space="preserve">2</m:t>
              </m:r>
            </m:sub>
            <m:sup>
              <m:r>
                <m:t xml:space="preserve">2</m:t>
              </m:r>
            </m:sup>
          </m:sSubSup>
          <m:r>
            <m:t xml:space="preserve">  ≥  </m:t>
          </m:r>
          <m:f>
            <m:num>
              <m:r>
                <m:t xml:space="preserve">h(G, S</m:t>
              </m:r>
              <m:sSup>
                <m:e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|S|</m:t>
              </m:r>
            </m:den>
          </m:f>
          <m:r>
            <m:t xml:space="preserve">   \lVert f </m:t>
          </m:r>
          <m:sSubSup>
            <m:e>
              <m:r>
                <m:t xml:space="preserve">\rVert</m:t>
              </m:r>
            </m:e>
            <m:sub>
              <m:r>
                <m:t xml:space="preserve">2</m:t>
              </m:r>
            </m:sub>
            <m:sup>
              <m:r>
                <m:t xml:space="preserve">2</m:t>
              </m:r>
            </m:sup>
          </m:sSubSup>
          <m:r>
            <m:t xml:space="preserve">,</m:t>
          </m:r>
        </m:oMath>
      </m:oMathPara>
      <w:r>
        <w:rPr>
          <w:rFonts w:ascii="serif" w:hAnsi="serif"/>
          <w:sz w:val="22"/>
        </w:rPr>
        <w:t xml:space="preserve"> where</w:t>
        <w:br/>
      </w:r>
      <m:oMath>
        <m:sSub>
          <m:e>
            <m:r>
              <m:t xml:space="preserve">f</m:t>
            </m:r>
          </m:e>
          <m:sub>
            <m:r>
              <m:t xml:space="preserve">s</m:t>
            </m:r>
          </m:sub>
        </m:sSub>
        <m:r>
          <m:t xml:space="preserve">(x) = f(xs)</m:t>
        </m:r>
      </m:oMath>
      <w:r>
        <w:rPr>
          <w:rFonts w:ascii="serif" w:hAnsi="serif"/>
          <w:sz w:val="22"/>
        </w:rPr>
        <w:t>.</w:t>
        <w:br/>
        <w:t>The theorem follows from the variational characterization of</w:t>
        <w:br/>
      </w:r>
      <m:oMath>
        <m:sSub>
          <m:e>
            <m:r>
              <m:t xml:space="preserve">λ</m:t>
            </m:r>
          </m:e>
          <m:sub>
            <m:r>
              <m:t xml:space="preserve">1</m:t>
            </m:r>
          </m:sub>
        </m:sSub>
      </m:oMath>
      <w:r>
        <w:rPr>
          <w:rFonts w:ascii="serif" w:hAnsi="serif"/>
          <w:sz w:val="22"/>
        </w:rPr>
        <w:br/>
        <w:t>together with a standard interpolation argument; full details appear in</w:t>
        <w:br/>
      </w:r>
      <w:r>
        <w:rPr>
          <w:rFonts w:ascii="serif" w:hAnsi="serif"/>
          <w:sz w:val="22"/>
        </w:rPr>
        <w:t>(Woess 2000,</w:t>
        <w:br/>
        <w:t>Thm. 3.1)</w:t>
      </w:r>
      <w:r>
        <w:rPr>
          <w:rFonts w:ascii="serif" w:hAnsi="serif"/>
          <w:sz w:val="22"/>
        </w:rPr>
        <w:t>. ◻</w:t>
      </w:r>
    </w:p>
    <w:p>
      <w:pPr>
        <w:spacing w:line="288" w:lineRule="auto"/>
      </w:pPr>
      <w:r>
        <w:rPr>
          <w:rFonts w:ascii="serif" w:hAnsi="serif"/>
          <w:sz w:val="22"/>
        </w:rPr>
        <w:t>The constant</w:t>
        <w:br/>
      </w:r>
      <m:oMath>
        <m:r>
          <m:t xml:space="preserve">c</m:t>
        </m:r>
      </m:oMath>
      <w:r>
        <w:rPr>
          <w:rFonts w:ascii="serif" w:hAnsi="serif"/>
          <w:sz w:val="22"/>
        </w:rPr>
        <w:br/>
        <w:t>above is effective; we record the explicit value.</w:t>
      </w:r>
    </w:p>
    <w:p>
      <w:pPr>
        <w:spacing w:line="288" w:lineRule="auto"/>
      </w:pPr>
      <w:r>
        <w:rPr>
          <w:rFonts w:ascii="serif" w:hAnsi="serif"/>
          <w:b/>
          <w:sz w:val="22"/>
        </w:rPr>
        <w:t>Corollary 2</w:t>
      </w:r>
      <w:r>
        <w:rPr>
          <w:rFonts w:ascii="serif" w:hAnsi="serif"/>
          <w:sz w:val="22"/>
        </w:rPr>
        <w:t xml:space="preserve">. </w:t>
      </w:r>
      <w:r>
        <w:rPr>
          <w:rFonts w:ascii="serif" w:hAnsi="serif"/>
          <w:i/>
          <w:sz w:val="22"/>
        </w:rPr>
        <w:t xml:space="preserve">With the hypotheses of Theorem </w:t>
      </w:r>
      <w:hyperlink w:anchor="thm:gap">
        <w:r>
          <w:rPr>
            <w:rFonts w:ascii="serif" w:hAnsi="serif"/>
            <w:i/>
            <w:color w:val="0563C1"/>
            <w:sz w:val="22"/>
            <w:u w:val="single"/>
          </w:rPr>
          <w:t>1</w:t>
        </w:r>
      </w:hyperlink>
      <w:r>
        <w:rPr>
          <w:rFonts w:ascii="serif" w:hAnsi="serif"/>
          <w:i/>
          <w:sz w:val="22"/>
        </w:rPr>
        <w:t xml:space="preserve">, the inequality </w:t>
      </w:r>
      <w:hyperlink w:anchor="eq:gap">
        <w:r>
          <w:rPr>
            <w:rFonts w:ascii="serif" w:hAnsi="serif"/>
            <w:i/>
            <w:color w:val="0563C1"/>
            <w:sz w:val="22"/>
            <w:u w:val="single"/>
          </w:rPr>
          <w:t>(3)</w:t>
        </w:r>
      </w:hyperlink>
      <w:r>
        <w:rPr>
          <w:rFonts w:ascii="serif" w:hAnsi="serif"/>
          <w:i/>
          <w:sz w:val="22"/>
        </w:rPr>
        <w:t xml:space="preserve"> holds</w:t>
        <w:br/>
        <w:t>with</w:t>
        <w:br/>
      </w:r>
      <m:oMath>
        <m:r>
          <m:t xml:space="preserve">c = 1/64</m:t>
        </m:r>
      </m:oMath>
      <w:r>
        <w:rPr>
          <w:rFonts w:ascii="serif" w:hAnsi="serif"/>
          <w:i/>
          <w:sz w:val="22"/>
        </w:rPr>
        <w:t>.</w:t>
      </w:r>
    </w:p>
    <w:p>
      <w:pPr>
        <w:spacing w:line="288" w:lineRule="auto"/>
      </w:pPr>
      <w:r>
        <w:rPr>
          <w:rFonts w:ascii="serif" w:hAnsi="serif"/>
          <w:sz w:val="22"/>
        </w:rPr>
        <w:t>For nilpotent groups the gap admits a cleaner closed form, which we</w:t>
        <w:br/>
        <w:t xml:space="preserve">state without proof since it follows from Corollary </w:t>
      </w:r>
      <w:hyperlink w:anchor="cor:explicit">
        <w:r>
          <w:rPr>
            <w:rFonts w:ascii="serif" w:hAnsi="serif"/>
            <w:color w:val="0563C1"/>
            <w:sz w:val="22"/>
            <w:u w:val="single"/>
          </w:rPr>
          <w:t>2</w:t>
        </w:r>
      </w:hyperlink>
      <w:r>
        <w:rPr>
          <w:rFonts w:ascii="serif" w:hAnsi="serif"/>
          <w:sz w:val="22"/>
        </w:rPr>
        <w:t xml:space="preserve"> by a dimension-counting</w:t>
        <w:br/>
        <w:t>argument.</w:t>
      </w:r>
    </w:p>
    <w:p>
      <w:pPr>
        <w:spacing w:line="288" w:lineRule="auto"/>
      </w:pPr>
      <w:r>
        <w:rPr>
          <w:rFonts w:ascii="serif" w:hAnsi="serif"/>
          <w:b/>
          <w:sz w:val="22"/>
        </w:rPr>
        <w:t>Proposition 3</w:t>
      </w:r>
      <w:r>
        <w:rPr>
          <w:rFonts w:ascii="serif" w:hAnsi="serif"/>
          <w:sz w:val="22"/>
        </w:rPr>
        <w:t xml:space="preserve">. </w:t>
      </w:r>
      <w:r>
        <w:rPr>
          <w:rFonts w:ascii="serif" w:hAnsi="serif"/>
          <w:i/>
          <w:sz w:val="22"/>
        </w:rPr>
        <w:t>If</w:t>
        <w:br/>
      </w:r>
      <m:oMath>
        <m:r>
          <m:t xml:space="preserve">G</m:t>
        </m:r>
      </m:oMath>
      <w:r>
        <w:rPr>
          <w:rFonts w:ascii="serif" w:hAnsi="serif"/>
          <w:i/>
          <w:sz w:val="22"/>
        </w:rPr>
        <w:br/>
        <w:t>is finite nilpotent of nilpotency class</w:t>
        <w:br/>
      </w:r>
      <m:oMath>
        <m:r>
          <m:t xml:space="preserve">≤ 2</m:t>
        </m:r>
      </m:oMath>
      <w:r>
        <w:rPr>
          <w:rFonts w:ascii="serif" w:hAnsi="serif"/>
          <w:i/>
          <w:sz w:val="22"/>
        </w:rPr>
        <w:t>,</w:t>
        <w:br/>
        <w:t>then</w:t>
        <w:br/>
      </w:r>
      <m:oMathPara>
        <m:oMath>
          <m:r>
            <m:t xml:space="preserve">1 - </m:t>
          </m:r>
          <m:sSub>
            <m:e>
              <m:r>
                <m:t xml:space="preserve">λ</m:t>
              </m:r>
            </m:e>
            <m:sub>
              <m:r>
                <m:t xml:space="preserve">1</m:t>
              </m:r>
            </m:sub>
          </m:sSub>
          <m:r>
            <m:t xml:space="preserve">  =  Θ</m:t>
          </m:r>
          <m:d>
            <m:e>
              <m:r>
                <m:t xml:space="preserve">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d</m:t>
                  </m:r>
                </m:den>
              </m:f>
              <m:r>
                <m:t xml:space="preserve"> </m:t>
              </m:r>
            </m:e>
          </m:d>
          <m:r>
            <m:t xml:space="preserve">,</m:t>
          </m:r>
        </m:oMath>
      </m:oMathPara>
      <w:r>
        <w:rPr>
          <w:rFonts w:ascii="serif" w:hAnsi="serif"/>
          <w:i/>
          <w:sz w:val="22"/>
        </w:rPr>
        <w:t xml:space="preserve"> with the implied constant</w:t>
        <w:br/>
        <w:t>depending only on the number of generators.</w:t>
      </w:r>
    </w:p>
    <w:p>
      <w:pPr>
        <w:spacing w:line="288" w:lineRule="auto"/>
        <w:jc w:val="center"/>
      </w:pPr>
      <w:r>
        <w:rPr>
          <w:rFonts w:ascii="serif" w:hAnsi="serif"/>
          <w:i/>
          <w:sz w:val="22"/>
        </w:rPr>
        <w:t>The generators</w:t>
        <w:br/>
      </w:r>
      <m:oMath>
        <m:sSub>
          <m:e>
            <m:r>
              <m:t xml:space="preserve">s</m:t>
            </m:r>
          </m:e>
          <m:sub>
            <m:r>
              <m:t xml:space="preserve">1</m:t>
            </m:r>
          </m:sub>
        </m:sSub>
        <m:r>
          <m:t xml:space="preserve">, </m:t>
        </m:r>
        <m:sSub>
          <m:e>
            <m:r>
              <m:t xml:space="preserve">s</m:t>
            </m:r>
          </m:e>
          <m:sub>
            <m:r>
              <m:t xml:space="preserve">2</m:t>
            </m:r>
          </m:sub>
        </m:sSub>
      </m:oMath>
      <w:r>
        <w:rPr>
          <w:rFonts w:ascii="serif" w:hAnsi="serif"/>
          <w:i/>
          <w:sz w:val="22"/>
        </w:rPr>
        <w:br/>
        <w:t xml:space="preserve">and the fundamental cone of the lattice approximation; see Section </w:t>
      </w:r>
      <w:hyperlink w:anchor="sec:discussion">
        <w:r>
          <w:rPr>
            <w:rFonts w:ascii="serif" w:hAnsi="serif"/>
            <w:i/>
            <w:color w:val="0563C1"/>
            <w:sz w:val="22"/>
            <w:u w:val="single"/>
          </w:rPr>
          <w:t>7</w:t>
        </w:r>
      </w:hyperlink>
      <w:r>
        <w:rPr>
          <w:rFonts w:ascii="serif" w:hAnsi="serif"/>
          <w:i/>
          <w:sz w:val="22"/>
        </w:rPr>
        <w:t>.</w:t>
      </w:r>
    </w:p>
    <w:p>
      <w:pPr>
        <w:spacing w:line="288" w:lineRule="auto"/>
        <w:jc w:val="center"/>
        <w:pBdr>
          <w:top w:val="single" w:sz="8" w:space="1" w:color="999999"/>
          <w:left w:val="single" w:sz="8" w:space="1" w:color="999999"/>
          <w:bottom w:val="single" w:sz="8" w:space="1" w:color="999999"/>
          <w:right w:val="single" w:sz="8" w:space="1" w:color="999999"/>
        </w:pBdr>
      </w:pPr>
      <w:r>
        <w:rPr>
          <w:rFonts w:ascii="serif" w:hAnsi="serif"/>
          <w:i/>
          <w:sz w:val="22"/>
        </w:rPr>
        <w:t>[Vector drawing 1 from the LaTeX source — not renderable in this import]</w:t>
      </w:r>
    </w:p>
    <w:p>
      <w:pPr>
        <w:spacing w:line="288" w:lineRule="auto"/>
        <w:jc w:val="center"/>
      </w:pPr>
      <w:r>
        <w:rPr>
          <w:rFonts w:ascii="serif" w:hAnsi="serif"/>
          <w:i/>
          <w:sz w:val="22"/>
        </w:rPr>
        <w:t>Numerical spectrum of</w:t>
        <w:br/>
      </w:r>
      <m:oMath>
        <m:r>
          <m:t xml:space="preserve">P</m:t>
        </m:r>
      </m:oMath>
      <w:r>
        <w:rPr>
          <w:rFonts w:ascii="serif" w:hAnsi="serif"/>
          <w:i/>
          <w:sz w:val="22"/>
        </w:rPr>
        <w:br/>
        <w:t>for a random 3-regular graph on</w:t>
        <w:br/>
      </w:r>
      <m:oMath>
        <m:sSup>
          <m:e>
            <m:r>
              <m:t xml:space="preserve">2</m:t>
            </m:r>
          </m:e>
          <m:sup>
            <m:r>
              <m:t xml:space="preserve">14</m:t>
            </m:r>
          </m:sup>
        </m:sSup>
      </m:oMath>
      <w:r>
        <w:rPr>
          <w:rFonts w:ascii="serif" w:hAnsi="serif"/>
          <w:i/>
          <w:sz w:val="22"/>
        </w:rPr>
        <w:br/>
        <w:t>vertices; the vertical dashed line marks</w:t>
        <w:br/>
      </w:r>
      <m:oMath>
        <m:r>
          <m:t xml:space="preserve">1 - </m:t>
        </m:r>
        <m:sSub>
          <m:e>
            <m:r>
              <m:t xml:space="preserve">λ</m:t>
            </m:r>
          </m:e>
          <m:sub>
            <m:r>
              <m:t xml:space="preserve">1</m:t>
            </m:r>
          </m:sub>
        </m:sSub>
      </m:oMath>
      <w:r>
        <w:rPr>
          <w:rFonts w:ascii="serif" w:hAnsi="serif"/>
          <w:i/>
          <w:sz w:val="22"/>
        </w:rPr>
        <w:t>.</w:t>
      </w:r>
    </w:p>
    <w:p>
      <w:pPr>
        <w:pStyle w:val="Heading1"/>
        <w:spacing w:line="288" w:lineRule="auto"/>
      </w:pPr>
      <w:r>
        <w:rPr>
          <w:rFonts w:ascii="serif" w:hAnsi="serif"/>
          <w:sz w:val="31"/>
        </w:rPr>
        <w:t>5  Proofs</w:t>
      </w:r>
    </w:p>
    <w:p>
      <w:pPr>
        <w:pStyle w:val="Heading1"/>
        <w:spacing w:line="288" w:lineRule="auto"/>
      </w:pPr>
      <w:r>
        <w:rPr>
          <w:rFonts w:ascii="serif" w:hAnsi="serif"/>
          <w:sz w:val="31"/>
        </w:rPr>
        <w:t>6  Proofs</w:t>
      </w:r>
    </w:p>
    <w:p>
      <w:pPr>
        <w:pStyle w:val="Heading2"/>
        <w:spacing w:line="288" w:lineRule="auto"/>
      </w:pPr>
      <w:r>
        <w:rPr>
          <w:rFonts w:ascii="serif" w:hAnsi="serif"/>
          <w:sz w:val="26"/>
        </w:rPr>
        <w:t>6.1  The localized Poincaré</w:t>
        <w:br/>
        <w:t>inequality</w:t>
      </w:r>
    </w:p>
    <w:p>
      <w:pPr>
        <w:spacing w:line="288" w:lineRule="auto"/>
      </w:pPr>
      <w:r>
        <w:rPr>
          <w:rFonts w:ascii="serif" w:hAnsi="serif"/>
          <w:sz w:val="22"/>
        </w:rPr>
        <w:t>We first record the analytic ingredient. The following lemma is</w:t>
        <w:br/>
        <w:t>essentially due to Diaconis and Saloff-Coste; we include a</w:t>
        <w:br/>
        <w:t>self-contained proof.</w:t>
      </w:r>
    </w:p>
    <w:p>
      <w:pPr>
        <w:spacing w:line="288" w:lineRule="auto"/>
      </w:pPr>
      <w:r>
        <w:rPr>
          <w:rFonts w:ascii="serif" w:hAnsi="serif"/>
          <w:b/>
          <w:sz w:val="22"/>
        </w:rPr>
        <w:t>Lemma 4</w:t>
      </w:r>
      <w:r>
        <w:rPr>
          <w:rFonts w:ascii="serif" w:hAnsi="serif"/>
          <w:sz w:val="22"/>
        </w:rPr>
        <w:t xml:space="preserve">. </w:t>
      </w:r>
      <w:r>
        <w:rPr>
          <w:rFonts w:ascii="serif" w:hAnsi="serif"/>
          <w:i/>
          <w:sz w:val="22"/>
        </w:rPr>
        <w:t>Let</w:t>
        <w:br/>
      </w:r>
      <m:oMath>
        <m:r>
          <m:t xml:space="preserve">G</m:t>
        </m:r>
      </m:oMath>
      <w:r>
        <w:rPr>
          <w:rFonts w:ascii="serif" w:hAnsi="serif"/>
          <w:i/>
          <w:sz w:val="22"/>
        </w:rPr>
        <w:br/>
        <w:t>be finite with symmetric generating set</w:t>
        <w:br/>
      </w:r>
      <m:oMath>
        <m:r>
          <m:t xml:space="preserve">S</m:t>
        </m:r>
      </m:oMath>
      <w:r>
        <w:rPr>
          <w:rFonts w:ascii="serif" w:hAnsi="serif"/>
          <w:i/>
          <w:sz w:val="22"/>
        </w:rPr>
        <w:t>.</w:t>
        <w:br/>
        <w:t>For every</w:t>
        <w:br/>
      </w:r>
      <m:oMath>
        <m:r>
          <m:t xml:space="preserve">f ∈ </m:t>
        </m:r>
        <m:sSup>
          <m:e>
            <m:r>
              <m:t xml:space="preserve">ℓ</m:t>
            </m:r>
          </m:e>
          <m:sup>
            <m:r>
              <m:t xml:space="preserve">2</m:t>
            </m:r>
          </m:sup>
        </m:sSup>
        <m:r>
          <m:t xml:space="preserve">(G)</m:t>
        </m:r>
      </m:oMath>
      <w:r>
        <w:rPr>
          <w:rFonts w:ascii="serif" w:hAnsi="serif"/>
          <w:i/>
          <w:sz w:val="22"/>
        </w:rPr>
        <w:t>,</w:t>
        <w:br/>
      </w:r>
      <m:oMathPara>
        <m:oMath>
          <m:r>
            <m:t xml:space="preserve">\lVert f - E f </m:t>
          </m:r>
          <m:sSubSup>
            <m:e>
              <m:r>
                <m:t xml:space="preserve">\rVert</m:t>
              </m:r>
            </m:e>
            <m:sub>
              <m:r>
                <m:t xml:space="preserve">2</m:t>
              </m:r>
            </m:sub>
            <m:sup>
              <m:r>
                <m:t xml:space="preserve">2</m:t>
              </m:r>
            </m:sup>
          </m:sSubSup>
          <m:r>
            <m:t xml:space="preserve">  ≤  </m:t>
          </m:r>
          <m:f>
            <m:num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h(G,S</m:t>
              </m:r>
              <m:sSup>
                <m:e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 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s ∈ S</m:t>
              </m:r>
            </m:sub>
            <m:sup/>
            <m:e>
              <m:r>
                <m:t xml:space="preserve">\lVert</m:t>
              </m:r>
            </m:e>
          </m:nary>
          <m:r>
            <m:t xml:space="preserve"> f - </m:t>
          </m:r>
          <m:sSub>
            <m:e>
              <m:r>
                <m:t xml:space="preserve">f</m:t>
              </m:r>
            </m:e>
            <m:sub>
              <m:r>
                <m:t xml:space="preserve">s</m:t>
              </m:r>
            </m:sub>
          </m:sSub>
          <m:r>
            <m:t xml:space="preserve"> </m:t>
          </m:r>
          <m:sSubSup>
            <m:e>
              <m:r>
                <m:t xml:space="preserve">\rVert</m:t>
              </m:r>
            </m:e>
            <m:sub>
              <m:r>
                <m:t xml:space="preserve">2</m:t>
              </m:r>
            </m:sub>
            <m:sup>
              <m:r>
                <m:t xml:space="preserve">2</m:t>
              </m:r>
            </m:sup>
          </m:sSubSup>
          <m:r>
            <m:t xml:space="preserve"> .</m:t>
          </m:r>
        </m:oMath>
      </m:oMathPara>
    </w:p>
    <w:p>
      <w:pPr>
        <w:spacing w:line="288" w:lineRule="auto"/>
      </w:pPr>
      <w:r>
        <w:rPr>
          <w:rFonts w:ascii="serif" w:hAnsi="serif"/>
          <w:i/>
          <w:sz w:val="22"/>
        </w:rPr>
        <w:t>Proof.</w:t>
      </w:r>
      <w:r>
        <w:rPr>
          <w:rFonts w:ascii="serif" w:hAnsi="serif"/>
          <w:sz w:val="22"/>
        </w:rPr>
        <w:t xml:space="preserve"> Fix a geodesic path from</w:t>
        <w:br/>
      </w:r>
      <m:oMath>
        <m:r>
          <m:t xml:space="preserve">x</m:t>
        </m:r>
      </m:oMath>
      <w:r>
        <w:rPr>
          <w:rFonts w:ascii="serif" w:hAnsi="serif"/>
          <w:sz w:val="22"/>
        </w:rPr>
        <w:br/>
        <w:t>to</w:t>
        <w:br/>
      </w:r>
      <m:oMath>
        <m:r>
          <m:t xml:space="preserve">y</m:t>
        </m:r>
      </m:oMath>
      <w:r>
        <w:rPr>
          <w:rFonts w:ascii="serif" w:hAnsi="serif"/>
          <w:sz w:val="22"/>
        </w:rPr>
        <w:br/>
        <w:t>in</w:t>
        <w:br/>
      </w:r>
      <m:oMath>
        <m:r>
          <m:t xml:space="preserve">Γ(G,S)</m:t>
        </m:r>
      </m:oMath>
      <w:r>
        <w:rPr>
          <w:rFonts w:ascii="serif" w:hAnsi="serif"/>
          <w:sz w:val="22"/>
        </w:rPr>
        <w:br/>
        <w:t>and telescope the differences</w:t>
        <w:br/>
      </w:r>
      <m:oMath>
        <m:r>
          <m:t xml:space="preserve">f - </m:t>
        </m:r>
        <m:sSub>
          <m:e>
            <m:r>
              <m:t xml:space="preserve">f</m:t>
            </m:r>
          </m:e>
          <m:sub>
            <m:r>
              <m:t xml:space="preserve">s</m:t>
            </m:r>
          </m:sub>
        </m:sSub>
      </m:oMath>
      <w:r>
        <w:rPr>
          <w:rFonts w:ascii="serif" w:hAnsi="serif"/>
          <w:sz w:val="22"/>
        </w:rPr>
        <w:br/>
        <w:t>along it; summing over</w:t>
        <w:br/>
      </w:r>
      <m:oMath>
        <m:r>
          <m:t xml:space="preserve">y</m:t>
        </m:r>
      </m:oMath>
      <w:r>
        <w:rPr>
          <w:rFonts w:ascii="serif" w:hAnsi="serif"/>
          <w:sz w:val="22"/>
        </w:rPr>
        <w:br/>
        <w:t>and using the local expansion bound gives the claim. The constant</w:t>
        <w:br/>
      </w:r>
      <m:oMath>
        <m:f>
          <m:num>
            <m:sSup>
              <m:e>
                <m:r>
                  <m:t xml:space="preserve">d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h(G,S</m:t>
            </m:r>
            <m:sSup>
              <m:e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serif" w:hAnsi="serif"/>
          <w:sz w:val="22"/>
        </w:rPr>
        <w:br/>
        <w:t xml:space="preserve">is sharp for the two-step random walk, as shown by </w:t>
      </w:r>
      <w:r>
        <w:rPr>
          <w:rFonts w:ascii="serif" w:hAnsi="serif"/>
          <w:sz w:val="22"/>
        </w:rPr>
        <w:t>(Diaconis and</w:t>
        <w:br/>
        <w:t>Saloff-Coste 1996, Prop. 2.7)</w:t>
      </w:r>
      <w:r>
        <w:rPr>
          <w:rFonts w:ascii="serif" w:hAnsi="serif"/>
          <w:sz w:val="22"/>
        </w:rPr>
        <w:t>. ◻</w:t>
      </w:r>
    </w:p>
    <w:p>
      <w:pPr>
        <w:pStyle w:val="Heading2"/>
        <w:spacing w:line="288" w:lineRule="auto"/>
      </w:pPr>
      <w:r>
        <w:rPr>
          <w:rFonts w:ascii="serif" w:hAnsi="serif"/>
          <w:sz w:val="26"/>
        </w:rPr>
        <w:t>6.2  Interpolation and the spectral</w:t>
        <w:br/>
        <w:t>radius</w:t>
      </w:r>
    </w:p>
    <w:p>
      <w:pPr>
        <w:spacing w:line="288" w:lineRule="auto"/>
      </w:pPr>
      <w:r>
        <w:rPr>
          <w:rFonts w:ascii="serif" w:hAnsi="serif"/>
          <w:sz w:val="22"/>
        </w:rPr>
        <w:t>Let</w:t>
        <w:br/>
      </w:r>
      <m:oMath>
        <m:r>
          <m:t xml:space="preserve">σ(P)</m:t>
        </m:r>
      </m:oMath>
      <w:r>
        <w:rPr>
          <w:rFonts w:ascii="serif" w:hAnsi="serif"/>
          <w:sz w:val="22"/>
        </w:rPr>
        <w:br/>
        <w:t>denote the spectrum of the transition operator, and write</w:t>
        <w:br/>
      </w:r>
      <m:oMath>
        <m:r>
          <m:t xml:space="preserve">σ(P) ∖ {1}</m:t>
        </m:r>
      </m:oMath>
      <w:r>
        <w:rPr>
          <w:rFonts w:ascii="serif" w:hAnsi="serif"/>
          <w:sz w:val="22"/>
        </w:rPr>
        <w:br/>
        <w:t>for its nontrivial part. The following estimate is classical.</w:t>
      </w:r>
    </w:p>
    <w:p>
      <w:pPr>
        <w:spacing w:line="288" w:lineRule="auto"/>
      </w:pPr>
      <m:oMathPara>
        <m:oMath>
          <m:sSub>
            <m:e>
              <m:r>
                <m:t xml:space="preserve">ρ</m:t>
              </m:r>
            </m:e>
            <m:sub>
              <m:r>
                <m:t xml:space="preserve">n</m:t>
              </m:r>
            </m:sub>
          </m:sSub>
          <m:r>
            <m:t xml:space="preserve">  :=  max\bigl{ |λ|  :  λ ∈ σ(P) ∖ {1} \bigr}  ≤  </m:t>
          </m:r>
          <m:sSup>
            <m:e>
              <m:d>
                <m:e>
                  <m:r>
                    <m:t xml:space="preserve"> 1 - </m:t>
                  </m:r>
                  <m:f>
                    <m:num>
                      <m:r>
                        <m:t xml:space="preserve">h(G,S</m:t>
                      </m:r>
                      <m:sSup>
                        <m:e>
                          <m:r>
                            <m:t xml:space="preserve">)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num>
                    <m:den>
                      <m:r>
                        <m:t xml:space="preserve">2 </m:t>
                      </m:r>
                      <m:sSup>
                        <m:e>
                          <m:r>
                            <m:t xml:space="preserve">d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den>
                  </m:f>
                  <m:r>
                    <m:t xml:space="preserve"> </m:t>
                  </m:r>
                </m:e>
              </m:d>
            </m:e>
            <m:sup>
              <m:r>
                <m:t xml:space="preserve">1/n</m:t>
              </m:r>
            </m:sup>
          </m:sSup>
        </m:oMath>
      </m:oMathPara>
    </w:p>
    <w:p>
      <w:pPr>
        <w:spacing w:line="288" w:lineRule="auto"/>
      </w:pPr>
      <w:r>
        <w:rPr>
          <w:rFonts w:ascii="serif" w:hAnsi="serif"/>
          <w:sz w:val="22"/>
        </w:rPr>
        <w:t xml:space="preserve">Combining Lemma </w:t>
      </w:r>
      <w:hyperlink w:anchor="lem:local-poincare">
        <w:r>
          <w:rPr>
            <w:rFonts w:ascii="serif" w:hAnsi="serif"/>
            <w:color w:val="0563C1"/>
            <w:sz w:val="22"/>
            <w:u w:val="single"/>
          </w:rPr>
          <w:t>4</w:t>
        </w:r>
      </w:hyperlink>
      <w:r>
        <w:rPr>
          <w:rFonts w:ascii="serif" w:hAnsi="serif"/>
          <w:sz w:val="22"/>
        </w:rPr>
        <w:t xml:space="preserve"> with</w:t>
        <w:br/>
      </w:r>
      <w:hyperlink w:anchor="eq:interp">
        <w:r>
          <w:rPr>
            <w:rFonts w:ascii="serif" w:hAnsi="serif"/>
            <w:color w:val="0563C1"/>
            <w:sz w:val="22"/>
            <w:u w:val="single"/>
          </w:rPr>
          <w:t>(6)</w:t>
        </w:r>
      </w:hyperlink>
      <w:r>
        <w:rPr>
          <w:rFonts w:ascii="serif" w:hAnsi="serif"/>
          <w:sz w:val="22"/>
        </w:rPr>
        <w:t xml:space="preserve"> and Corollary </w:t>
      </w:r>
      <w:hyperlink w:anchor="cor:explicit">
        <w:r>
          <w:rPr>
            <w:rFonts w:ascii="serif" w:hAnsi="serif"/>
            <w:color w:val="0563C1"/>
            <w:sz w:val="22"/>
            <w:u w:val="single"/>
          </w:rPr>
          <w:t>2</w:t>
        </w:r>
      </w:hyperlink>
      <w:r>
        <w:rPr>
          <w:rFonts w:ascii="serif" w:hAnsi="serif"/>
          <w:sz w:val="22"/>
        </w:rPr>
        <w:t xml:space="preserve"> yields Theorem </w:t>
      </w:r>
      <w:hyperlink w:anchor="thm:gap">
        <w:r>
          <w:rPr>
            <w:rFonts w:ascii="serif" w:hAnsi="serif"/>
            <w:color w:val="0563C1"/>
            <w:sz w:val="22"/>
            <w:u w:val="single"/>
          </w:rPr>
          <w:t>1</w:t>
        </w:r>
      </w:hyperlink>
      <w:r>
        <w:rPr>
          <w:rFonts w:ascii="serif" w:hAnsi="serif"/>
          <w:sz w:val="22"/>
        </w:rPr>
        <w:t>. The</w:t>
        <w:br/>
        <w:t>verification that the constants compose is a matter of arithmetic:</w:t>
        <w:br/>
      </w:r>
      <m:oMathPara>
        <m:oMath>
          <m:f>
            <m:num>
              <m:r>
                <m:t xml:space="preserve">c  h(G,S</m:t>
              </m:r>
              <m:sSup>
                <m:e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  ≥  </m:t>
          </m:r>
          <m:f>
            <m:num>
              <m:r>
                <m:t xml:space="preserve">h(G,S</m:t>
              </m:r>
              <m:sSup>
                <m:e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64  </m:t>
              </m:r>
              <m:sSup>
                <m:e>
                  <m:r>
                    <m:t xml:space="preserve">d</m:t>
                  </m:r>
                </m:e>
                <m:sup>
                  <m:r>
                    <m:t xml:space="preserve">2</m:t>
                  </m:r>
                </m:sup>
              </m:sSup>
            </m:den>
          </m:f>
        </m:oMath>
      </m:oMathPara>
      <w:r>
        <w:rPr>
          <w:rFonts w:ascii="serif" w:hAnsi="serif"/>
          <w:sz w:val="22"/>
        </w:rPr>
        <w:br/>
        <w:t>with equality only in the degenerate case</w:t>
        <w:br/>
      </w:r>
      <m:oMath>
        <m:r>
          <m:t xml:space="preserve">|S| = 1</m:t>
        </m:r>
      </m:oMath>
      <w:r>
        <w:rPr>
          <w:rFonts w:ascii="serif" w:hAnsi="serif"/>
          <w:sz w:val="22"/>
        </w:rPr>
        <w:t>.</w:t>
      </w:r>
    </w:p>
    <w:p>
      <w:pPr>
        <w:pStyle w:val="Heading1"/>
        <w:spacing w:line="288" w:lineRule="auto"/>
      </w:pPr>
      <w:bookmarkStart w:id="101" w:name="sec:discussion"/>
      <w:bookmarkEnd w:id="101"/>
      <w:r>
        <w:rPr>
          <w:rFonts w:ascii="serif" w:hAnsi="serif"/>
          <w:sz w:val="31"/>
        </w:rPr>
        <w:t>7  Discussion and Open Problems</w:t>
      </w:r>
    </w:p>
    <w:p>
      <w:pPr>
        <w:pStyle w:val="Heading1"/>
        <w:spacing w:line="288" w:lineRule="auto"/>
      </w:pPr>
      <w:r>
        <w:rPr>
          <w:rFonts w:ascii="serif" w:hAnsi="serif"/>
          <w:sz w:val="31"/>
        </w:rPr>
        <w:t>8  Discussion and Open Problems</w:t>
      </w:r>
    </w:p>
    <w:p>
      <w:pPr>
        <w:spacing w:line="288" w:lineRule="auto"/>
      </w:pPr>
      <w:r>
        <w:rPr>
          <w:rFonts w:ascii="serif" w:hAnsi="serif"/>
          <w:sz w:val="22"/>
        </w:rPr>
        <w:t>Three questions suggest themselves. First, whether the bound of</w:t>
        <w:br/>
        <w:t xml:space="preserve">Theorem </w:t>
      </w:r>
      <w:hyperlink w:anchor="thm:gap">
        <w:r>
          <w:rPr>
            <w:rFonts w:ascii="serif" w:hAnsi="serif"/>
            <w:color w:val="0563C1"/>
            <w:sz w:val="22"/>
            <w:u w:val="single"/>
          </w:rPr>
          <w:t>1</w:t>
        </w:r>
      </w:hyperlink>
      <w:r>
        <w:rPr>
          <w:rFonts w:ascii="serif" w:hAnsi="serif"/>
          <w:sz w:val="22"/>
        </w:rPr>
        <w:t xml:space="preserve"> is order-optimal for all nilpotent</w:t>
        <w:br/>
        <w:t xml:space="preserve">classes; our Proposition </w:t>
      </w:r>
      <w:hyperlink w:anchor="prop:nilpotent">
        <w:r>
          <w:rPr>
            <w:rFonts w:ascii="serif" w:hAnsi="serif"/>
            <w:color w:val="0563C1"/>
            <w:sz w:val="22"/>
            <w:u w:val="single"/>
          </w:rPr>
          <w:t>3</w:t>
        </w:r>
      </w:hyperlink>
      <w:r>
        <w:rPr>
          <w:rFonts w:ascii="serif" w:hAnsi="serif"/>
          <w:sz w:val="22"/>
        </w:rPr>
        <w:t xml:space="preserve"> settles</w:t>
        <w:br/>
        <w:t>only class</w:t>
        <w:br/>
      </w:r>
      <m:oMath>
        <m:r>
          <m:t xml:space="preserve">≤ 2</m:t>
        </m:r>
      </m:oMath>
      <w:r>
        <w:rPr>
          <w:rFonts w:ascii="serif" w:hAnsi="serif"/>
          <w:sz w:val="22"/>
        </w:rPr>
        <w:t>.</w:t>
        <w:br/>
        <w:t xml:space="preserve">Second, whether the </w:t>
      </w:r>
      <w:r>
        <w:rPr>
          <w:rFonts w:ascii="serif" w:hAnsi="serif"/>
          <w:i/>
          <w:sz w:val="22"/>
        </w:rPr>
        <w:t>bipartite</w:t>
      </w:r>
      <w:r>
        <w:rPr>
          <w:rFonts w:ascii="serif" w:hAnsi="serif"/>
          <w:sz w:val="22"/>
        </w:rPr>
        <w:t xml:space="preserve"> double cover</w:t>
        <w:br/>
      </w:r>
      <m:oMath>
        <m:acc>
          <m:accPr>
            <m:chr m:val="̃"/>
          </m:accPr>
          <m:e>
            <m:r>
              <m:t xml:space="preserve"> </m:t>
            </m:r>
          </m:e>
        </m:acc>
        <m:r>
          <m:t xml:space="preserve">G = G × Z/2</m:t>
        </m:r>
      </m:oMath>
      <w:r>
        <w:rPr>
          <w:rFonts w:ascii="serif" w:hAnsi="serif"/>
          <w:sz w:val="22"/>
        </w:rPr>
        <w:br/>
        <w:t>preserves the gap up to a universal constant – the parity obstruction</w:t>
        <w:br/>
        <w:t>makes this delicate. Third, whether sharp constants can be derived from</w:t>
        <w:br/>
        <w:t xml:space="preserve">Kesten-type equations </w:t>
      </w:r>
      <w:hyperlink w:anchor="eq:rho">
        <w:r>
          <w:rPr>
            <w:rFonts w:ascii="serif" w:hAnsi="serif"/>
            <w:color w:val="0563C1"/>
            <w:sz w:val="22"/>
            <w:u w:val="single"/>
          </w:rPr>
          <w:t>(2)</w:t>
        </w:r>
      </w:hyperlink>
      <w:r>
        <w:rPr>
          <w:rFonts w:ascii="serif" w:hAnsi="serif"/>
          <w:sz w:val="22"/>
        </w:rPr>
        <w:t xml:space="preserve"> on the group algebra.</w:t>
      </w:r>
    </w:p>
    <w:p>
      <w:pPr>
        <w:spacing w:line="288" w:lineRule="auto"/>
      </w:pPr>
      <w:r>
        <w:rPr>
          <w:rFonts w:ascii="serif" w:hAnsi="serif"/>
          <w:sz w:val="22"/>
        </w:rPr>
        <w:t>We expect that a Fourier-analytic approach on the dual</w:t>
        <w:br/>
      </w:r>
      <m:oMath>
        <m:acc>
          <m:accPr>
            <m:chr m:val="̂"/>
          </m:accPr>
          <m:e>
            <m:r>
              <m:t xml:space="preserve"> </m:t>
            </m:r>
          </m:e>
        </m:acc>
        <m:r>
          <m:t xml:space="preserve">G</m:t>
        </m:r>
      </m:oMath>
      <w:r>
        <w:rPr>
          <w:rFonts w:ascii="serif" w:hAnsi="serif"/>
          <w:sz w:val="22"/>
        </w:rPr>
        <w:t>,</w:t>
        <w:br/>
        <w:t xml:space="preserve">combined with the transfer principle of </w:t>
      </w:r>
      <w:r>
        <w:rPr>
          <w:rFonts w:ascii="serif" w:hAnsi="serif"/>
          <w:sz w:val="22"/>
        </w:rPr>
        <w:t>(Lubotzky 1994)</w:t>
      </w:r>
      <w:r>
        <w:rPr>
          <w:rFonts w:ascii="serif" w:hAnsi="serif"/>
          <w:sz w:val="22"/>
        </w:rPr>
        <w:t>, yields an upper bound of</w:t>
        <w:br/>
        <w:t>the form</w:t>
        <w:br/>
      </w:r>
      <m:oMathPara>
        <m:oMath>
          <m:r>
            <m:t xml:space="preserve">1 - </m:t>
          </m:r>
          <m:sSub>
            <m:e>
              <m:r>
                <m:t xml:space="preserve">λ</m:t>
              </m:r>
            </m:e>
            <m:sub>
              <m:r>
                <m:t xml:space="preserve">1</m:t>
              </m:r>
            </m:sub>
          </m:sSub>
          <m:r>
            <m:t xml:space="preserve">  ≤  </m:t>
          </m:r>
          <m:f>
            <m:num>
              <m:r>
                <m:t xml:space="preserve">C</m:t>
              </m:r>
            </m:num>
            <m:den>
              <m:r>
                <m:t xml:space="preserve">d</m:t>
              </m:r>
            </m:den>
          </m:f>
          <m:r>
            <m:t xml:space="preserve"> </m:t>
          </m:r>
          <m:sSup>
            <m:e>
              <m:d>
                <m:e>
                  <m:r>
                    <m:t xml:space="preserve"> 1 - </m:t>
                  </m:r>
                  <m:f>
                    <m:num>
                      <m:r>
                        <m:t xml:space="preserve">log |G|</m:t>
                      </m:r>
                    </m:num>
                    <m:den>
                      <m:r>
                        <m:t xml:space="preserve">log 2</m:t>
                      </m:r>
                    </m:den>
                  </m:f>
                  <m:r>
                    <m:t xml:space="preserve"> </m:t>
                  </m:r>
                </m:e>
              </m:d>
            </m:e>
            <m:sup>
              <m:r>
                <m:t xml:space="preserve">-1</m:t>
              </m:r>
            </m:sup>
          </m:sSup>
          <m:r>
            <m:t xml:space="preserve">.</m:t>
          </m:r>
        </m:oMath>
      </m:oMathPara>
    </w:p>
    <w:p>
      <w:pPr>
        <w:ind w:left="720" w:right="720"/>
      </w:pPr>
      <w:r>
        <w:rPr>
          <w:rFonts w:ascii="serif" w:hAnsi="serif"/>
          <w:i/>
          <w:sz w:val="22"/>
        </w:rPr>
        <w:t>“The spectral radius is the shadow of the group’s geometry.” —</w:t>
        <w:br/>
        <w:t>folklore</w:t>
      </w:r>
    </w:p>
    <w:p>
      <w:pPr>
        <w:spacing w:line="288" w:lineRule="auto"/>
      </w:pPr>
      <w:r>
        <w:rPr>
          <w:rFonts w:ascii="serif" w:hAnsi="serif"/>
          <w:sz w:val="22"/>
        </w:rPr>
        <w:t xml:space="preserve">Figure </w:t>
      </w:r>
      <w:hyperlink w:anchor="fig:cone">
        <w:r>
          <w:rPr>
            <w:rFonts w:ascii="serif" w:hAnsi="serif"/>
            <w:color w:val="0563C1"/>
            <w:sz w:val="22"/>
            <w:u w:val="single"/>
          </w:rPr>
          <w:t>1</w:t>
        </w:r>
      </w:hyperlink>
      <w:r>
        <w:rPr>
          <w:rFonts w:ascii="serif" w:hAnsi="serif"/>
          <w:sz w:val="22"/>
        </w:rPr>
        <w:t xml:space="preserve"> illustrates the lattice approximation</w:t>
        <w:br/>
        <w:t xml:space="preserve">used in the proof of Proposition </w:t>
      </w:r>
      <w:hyperlink w:anchor="prop:nilpotent">
        <w:r>
          <w:rPr>
            <w:rFonts w:ascii="serif" w:hAnsi="serif"/>
            <w:color w:val="0563C1"/>
            <w:sz w:val="22"/>
            <w:u w:val="single"/>
          </w:rPr>
          <w:t>3</w:t>
        </w:r>
      </w:hyperlink>
      <w:r>
        <w:rPr>
          <w:rFonts w:ascii="serif" w:hAnsi="serif"/>
          <w:sz w:val="22"/>
        </w:rPr>
        <w:t>, and</w:t>
        <w:br/>
        <w:t xml:space="preserve">Figure </w:t>
      </w:r>
      <w:hyperlink w:anchor="fig:spectrum">
        <w:r>
          <w:rPr>
            <w:rFonts w:ascii="serif" w:hAnsi="serif"/>
            <w:color w:val="0563C1"/>
            <w:sz w:val="22"/>
            <w:u w:val="single"/>
          </w:rPr>
          <w:t>2</w:t>
        </w:r>
      </w:hyperlink>
      <w:r>
        <w:rPr>
          <w:rFonts w:ascii="serif" w:hAnsi="serif"/>
          <w:sz w:val="22"/>
        </w:rPr>
        <w:t xml:space="preserve"> reports the numerics mentioned in</w:t>
        <w:br/>
        <w:t>the introduction. Both figures were produced with TikZ and matplotlib</w:t>
        <w:br/>
        <w:t>respectively.</w:t>
      </w:r>
    </w:p>
    <w:p>
      <w:pPr>
        <w:pStyle w:val="Heading2"/>
        <w:spacing w:line="288" w:lineRule="auto"/>
      </w:pPr>
      <w:r>
        <w:rPr>
          <w:rFonts w:ascii="serif" w:hAnsi="serif"/>
          <w:sz w:val="26"/>
        </w:rPr>
        <w:t>References</w:t>
      </w:r>
    </w:p>
    <w:p>
      <w:pPr>
        <w:spacing w:line="288" w:lineRule="auto"/>
      </w:pPr>
      <w:r>
        <w:rPr>
          <w:rFonts w:ascii="serif" w:hAnsi="serif"/>
          <w:sz w:val="22"/>
        </w:rPr>
        <w:br/>
        <w:t xml:space="preserve">Diaconis, Persi. 1988. </w:t>
      </w:r>
      <w:r>
        <w:rPr>
          <w:rFonts w:ascii="serif" w:hAnsi="serif"/>
          <w:i/>
          <w:sz w:val="22"/>
        </w:rPr>
        <w:t>Group Representations in Probability and</w:t>
        <w:br/>
        <w:t>Statistics</w:t>
      </w:r>
      <w:r>
        <w:rPr>
          <w:rFonts w:ascii="serif" w:hAnsi="serif"/>
          <w:sz w:val="22"/>
        </w:rPr>
        <w:t>. Vol. 11. Lecture Notes–Monograph Series. Institute of</w:t>
        <w:br/>
        <w:t>Mathematical Statistics.</w:t>
        <w:br/>
      </w:r>
    </w:p>
    <w:p>
      <w:pPr>
        <w:spacing w:line="288" w:lineRule="auto"/>
      </w:pPr>
      <w:r>
        <w:rPr>
          <w:rFonts w:ascii="serif" w:hAnsi="serif"/>
          <w:sz w:val="22"/>
        </w:rPr>
        <w:br/>
        <w:t>Diaconis, Persi, and Laurent Saloff-Coste. 1996. “Nash</w:t>
        <w:br/>
        <w:t xml:space="preserve">Inequalities for Finite Markov Chains.” </w:t>
      </w:r>
      <w:r>
        <w:rPr>
          <w:rFonts w:ascii="serif" w:hAnsi="serif"/>
          <w:i/>
          <w:sz w:val="22"/>
        </w:rPr>
        <w:t>Journal of</w:t>
        <w:br/>
        <w:t>Theoretical Probability</w:t>
      </w:r>
      <w:r>
        <w:rPr>
          <w:rFonts w:ascii="serif" w:hAnsi="serif"/>
          <w:sz w:val="22"/>
        </w:rPr>
        <w:t xml:space="preserve"> 9 (2): 459–510.</w:t>
        <w:br/>
      </w:r>
    </w:p>
    <w:p>
      <w:pPr>
        <w:spacing w:line="288" w:lineRule="auto"/>
      </w:pPr>
      <w:r>
        <w:rPr>
          <w:rFonts w:ascii="serif" w:hAnsi="serif"/>
          <w:sz w:val="22"/>
        </w:rPr>
        <w:br/>
        <w:t>Kesten, Harry. 1959. “Symmetric Random Walks on Groups.”</w:t>
        <w:br/>
      </w:r>
      <w:r>
        <w:rPr>
          <w:rFonts w:ascii="serif" w:hAnsi="serif"/>
          <w:i/>
          <w:sz w:val="22"/>
        </w:rPr>
        <w:t>Transactions of the American Mathematical Society</w:t>
      </w:r>
      <w:r>
        <w:rPr>
          <w:rFonts w:ascii="serif" w:hAnsi="serif"/>
          <w:sz w:val="22"/>
        </w:rPr>
        <w:t xml:space="preserve"> 92 (2):</w:t>
        <w:br/>
        <w:t>336–54.</w:t>
        <w:br/>
      </w:r>
    </w:p>
    <w:p>
      <w:pPr>
        <w:spacing w:line="288" w:lineRule="auto"/>
      </w:pPr>
      <w:r>
        <w:rPr>
          <w:rFonts w:ascii="serif" w:hAnsi="serif"/>
          <w:sz w:val="22"/>
        </w:rPr>
        <w:br/>
        <w:t xml:space="preserve">Lubotzky, Alexander. 1994. </w:t>
      </w:r>
      <w:r>
        <w:rPr>
          <w:rFonts w:ascii="serif" w:hAnsi="serif"/>
          <w:i/>
          <w:sz w:val="22"/>
        </w:rPr>
        <w:t>Discrete Groups, Expanding Graphs and</w:t>
        <w:br/>
        <w:t>Invariant Measures</w:t>
      </w:r>
      <w:r>
        <w:rPr>
          <w:rFonts w:ascii="serif" w:hAnsi="serif"/>
          <w:sz w:val="22"/>
        </w:rPr>
        <w:t>. Vol. 125. Progress in Mathematics. Birkhäuser.</w:t>
        <w:br/>
      </w:r>
    </w:p>
    <w:p>
      <w:pPr>
        <w:spacing w:line="288" w:lineRule="auto"/>
      </w:pPr>
      <w:r>
        <w:rPr>
          <w:rFonts w:ascii="serif" w:hAnsi="serif"/>
          <w:sz w:val="22"/>
        </w:rPr>
        <w:br/>
        <w:t xml:space="preserve">Woess, Wolfgang. 2000. </w:t>
      </w:r>
      <w:r>
        <w:rPr>
          <w:rFonts w:ascii="serif" w:hAnsi="serif"/>
          <w:i/>
          <w:sz w:val="22"/>
        </w:rPr>
        <w:t>Random Walks on Infinite Graphs and</w:t>
        <w:br/>
        <w:t>Groups</w:t>
      </w:r>
      <w:r>
        <w:rPr>
          <w:rFonts w:ascii="serif" w:hAnsi="serif"/>
          <w:sz w:val="22"/>
        </w:rPr>
        <w:t>. Vol. 138. Cambridge Tracts in Mathematics. Cambridge</w:t>
        <w:br/>
        <w:t>University Press.</w:t>
        <w:br/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 PAGE ">
      <w:r>
        <w:rPr/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line="288" w:lineRule="auto"/>
      </w:pPr>
      <w:r>
        <w:rPr>
          <w:vertAlign w:val="superscript"/>
        </w:rPr>
        <w:footnoteRef/>
      </w:r>
      <w:r>
        <w:rPr>
          <w:rFonts w:ascii="serif" w:hAnsi="serif"/>
          <w:sz w:val="22"/>
        </w:rPr>
        <w:t>This deliberately ambiguous convention is standard in</w:t>
        <w:br/>
        <w:t xml:space="preserve">the literature on random walks on groups, cf. </w:t>
      </w:r>
      <w:r>
        <w:rPr>
          <w:rFonts w:ascii="serif" w:hAnsi="serif"/>
          <w:sz w:val="22"/>
        </w:rPr>
        <w:t>(Woess 2000)</w:t>
      </w:r>
      <w:r>
        <w:rPr>
          <w:rFonts w:ascii="serif" w:hAnsi="serif"/>
          <w:sz w:val="22"/>
        </w:rPr>
        <w:t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serif" w:hAnsi="serif" w:cs="serif" w:eastAsia="seri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rif" w:hAnsi="serif" w:cs="serif" w:eastAsia="serif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Spectral Gaps of Random Walks on Cayley Graphs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