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Environmental</w:t>
      </w:r>
      <w:r>
        <w:t xml:space="preserve"> </w:t>
      </w:r>
      <w:r>
        <w:t xml:space="preserve">Policy</w:t>
      </w:r>
    </w:p>
    <w:p>
      <w:pPr>
        <w:pStyle w:val="Subtitle"/>
      </w:pPr>
      <w:r>
        <w:t xml:space="preserve">SP</w:t>
      </w:r>
      <w:r>
        <w:t xml:space="preserve"> </w:t>
      </w:r>
      <w:r>
        <w:t xml:space="preserve">Architects</w:t>
      </w:r>
      <w:r>
        <w:t xml:space="preserve"> </w:t>
      </w:r>
      <w:r>
        <w:t xml:space="preserve">·</w:t>
      </w:r>
      <w:r>
        <w:t xml:space="preserve"> </w:t>
      </w:r>
      <w:r>
        <w:t xml:space="preserve">Policy</w:t>
      </w:r>
      <w:r>
        <w:t xml:space="preserve"> </w:t>
      </w:r>
      <w:r>
        <w:t xml:space="preserve">01</w:t>
      </w:r>
      <w:r>
        <w:t xml:space="preserve"> </w:t>
      </w:r>
      <w:r>
        <w:t xml:space="preserve">·</w:t>
      </w:r>
      <w:r>
        <w:t xml:space="preserve"> </w:t>
      </w:r>
      <w:r>
        <w:t xml:space="preserve">UN</w:t>
      </w:r>
      <w:r>
        <w:t xml:space="preserve"> </w:t>
      </w:r>
      <w:r>
        <w:t xml:space="preserve">Global</w:t>
      </w:r>
      <w:r>
        <w:t xml:space="preserve"> </w:t>
      </w:r>
      <w:r>
        <w:t xml:space="preserve">Compact</w:t>
      </w:r>
      <w:r>
        <w:t xml:space="preserve"> </w:t>
      </w:r>
      <w:r>
        <w:t xml:space="preserve">·</w:t>
      </w:r>
      <w:r>
        <w:t xml:space="preserve"> </w:t>
      </w:r>
      <w:r>
        <w:t xml:space="preserve">Draft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bookmarkStart w:id="20" w:name="commitment"/>
    <w:p>
      <w:pPr>
        <w:pStyle w:val="Heading3"/>
      </w:pPr>
      <w:r>
        <w:t xml:space="preserve">1. Commitment</w:t>
      </w:r>
    </w:p>
    <w:p>
      <w:pPr>
        <w:pStyle w:val="FirstParagraph"/>
      </w:pPr>
      <w:r>
        <w:t xml:space="preserve">SP Architects is committed to reducing the environmental impact of its design work and its own office operations. As a participant of the UN Global Compact, we support its environmental principles: a precautionary approach to environmental challenges, greater environmental responsibility, and the use of environmentally friendly technologies.</w:t>
      </w:r>
    </w:p>
    <w:p>
      <w:pPr>
        <w:pStyle w:val="BodyText"/>
      </w:pPr>
      <w:r>
        <w:t xml:space="preserve">Environmental thinking has always been part of our design practice. This policy puts that practice into writing.</w:t>
      </w:r>
    </w:p>
    <w:bookmarkEnd w:id="20"/>
    <w:bookmarkStart w:id="21" w:name="principles"/>
    <w:p>
      <w:pPr>
        <w:pStyle w:val="Heading3"/>
      </w:pPr>
      <w:r>
        <w:t xml:space="preserve">2. Principles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Responsible design:</w:t>
      </w:r>
      <w:r>
        <w:t xml:space="preserve"> </w:t>
      </w:r>
      <w:r>
        <w:t xml:space="preserve">We consider energy efficiency, resource efficiency, climate resilience and nature-based solutions from the early stages of every project.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Circular thinking:</w:t>
      </w:r>
      <w:r>
        <w:t xml:space="preserve"> </w:t>
      </w:r>
      <w:r>
        <w:t xml:space="preserve">We reduce, reuse and recycle in our office, and work with partners on circular economy solutions. This policy complements our [2025] Zero Waste Policy.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Continuous learning:</w:t>
      </w:r>
      <w:r>
        <w:t xml:space="preserve"> </w:t>
      </w:r>
      <w:r>
        <w:t xml:space="preserve">We keep our team up to date with good practice in sustainable design.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Collaboration:</w:t>
      </w:r>
      <w:r>
        <w:t xml:space="preserve"> </w:t>
      </w:r>
      <w:r>
        <w:t xml:space="preserve">We work with clients, consultants and partners to raise environmental performance.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Transparency:</w:t>
      </w:r>
      <w:r>
        <w:t xml:space="preserve"> </w:t>
      </w:r>
      <w:r>
        <w:t xml:space="preserve">We report our progress openly.</w:t>
      </w:r>
    </w:p>
    <w:bookmarkEnd w:id="21"/>
    <w:bookmarkStart w:id="22" w:name="what-we-do"/>
    <w:p>
      <w:pPr>
        <w:pStyle w:val="Heading3"/>
      </w:pPr>
      <w:r>
        <w:t xml:space="preserve">3. What we do</w:t>
      </w:r>
    </w:p>
    <w:p>
      <w:pPr>
        <w:pStyle w:val="FirstParagraph"/>
      </w:pPr>
      <w:r>
        <w:rPr>
          <w:bCs/>
          <w:b/>
        </w:rPr>
        <w:t xml:space="preserve">In our projects</w:t>
      </w:r>
    </w:p>
    <w:p>
      <w:pPr>
        <w:numPr>
          <w:ilvl w:val="0"/>
          <w:numId w:val="1002"/>
        </w:numPr>
      </w:pPr>
      <w:r>
        <w:t xml:space="preserve">We use digital tools for environmental analyses (daylight and thermal comfort, energy efficiency, resource efficiency) in architectural and masterplanning work, led by our Digital Lead and project design coordinators.</w:t>
      </w:r>
    </w:p>
    <w:p>
      <w:pPr>
        <w:numPr>
          <w:ilvl w:val="0"/>
          <w:numId w:val="1002"/>
        </w:numPr>
      </w:pPr>
      <w:r>
        <w:t xml:space="preserve">We propose passive design strategies, efficient systems, renewable energy and low-impact, locally available materials where the brief allows.</w:t>
      </w:r>
    </w:p>
    <w:p>
      <w:pPr>
        <w:numPr>
          <w:ilvl w:val="0"/>
          <w:numId w:val="1002"/>
        </w:numPr>
      </w:pPr>
      <w:r>
        <w:t xml:space="preserve">We share these recommendations with our clients and explain their benefits.</w:t>
      </w:r>
    </w:p>
    <w:p>
      <w:pPr>
        <w:pStyle w:val="FirstParagraph"/>
      </w:pPr>
      <w:r>
        <w:rPr>
          <w:bCs/>
          <w:b/>
        </w:rPr>
        <w:t xml:space="preserve">In our office</w:t>
      </w:r>
    </w:p>
    <w:p>
      <w:pPr>
        <w:numPr>
          <w:ilvl w:val="0"/>
          <w:numId w:val="1003"/>
        </w:numPr>
      </w:pPr>
      <w:r>
        <w:t xml:space="preserve">We work digitally to reduce paper and printing.</w:t>
      </w:r>
    </w:p>
    <w:p>
      <w:pPr>
        <w:numPr>
          <w:ilvl w:val="0"/>
          <w:numId w:val="1003"/>
        </w:numPr>
      </w:pPr>
      <w:r>
        <w:t xml:space="preserve">We separate and recycle waste, and reuse furniture, models and materials where possible.</w:t>
      </w:r>
    </w:p>
    <w:p>
      <w:pPr>
        <w:numPr>
          <w:ilvl w:val="0"/>
          <w:numId w:val="1003"/>
        </w:numPr>
      </w:pPr>
      <w:r>
        <w:t xml:space="preserve">We switch off equipment and lighting when not in use and prefer energy-efficient devices.</w:t>
      </w:r>
    </w:p>
    <w:p>
      <w:pPr>
        <w:numPr>
          <w:ilvl w:val="0"/>
          <w:numId w:val="1003"/>
        </w:numPr>
      </w:pPr>
      <w:r>
        <w:t xml:space="preserve">We record office electricity, water and waste data regularly.</w:t>
      </w:r>
    </w:p>
    <w:p>
      <w:pPr>
        <w:pStyle w:val="FirstParagraph"/>
      </w:pPr>
      <w:r>
        <w:rPr>
          <w:bCs/>
          <w:b/>
        </w:rPr>
        <w:t xml:space="preserve">Building capacity</w:t>
      </w:r>
    </w:p>
    <w:p>
      <w:pPr>
        <w:numPr>
          <w:ilvl w:val="0"/>
          <w:numId w:val="1004"/>
        </w:numPr>
      </w:pPr>
      <w:r>
        <w:t xml:space="preserve">A Sustainability Lead (in post since early 2026) coordinates this policy.</w:t>
      </w:r>
    </w:p>
    <w:p>
      <w:pPr>
        <w:numPr>
          <w:ilvl w:val="0"/>
          <w:numId w:val="1004"/>
        </w:numPr>
      </w:pPr>
      <w:r>
        <w:t xml:space="preserve">Staff have allocated work hours to follow developments in sustainable design.</w:t>
      </w:r>
    </w:p>
    <w:p>
      <w:pPr>
        <w:numPr>
          <w:ilvl w:val="0"/>
          <w:numId w:val="1004"/>
        </w:numPr>
      </w:pPr>
      <w:r>
        <w:t xml:space="preserve">We follow international platforms such as MIPIM and the World Urban Forum, and build partnerships to adopt new tools.</w:t>
      </w:r>
    </w:p>
    <w:bookmarkEnd w:id="22"/>
    <w:bookmarkStart w:id="23" w:name="responsibility-and-review"/>
    <w:p>
      <w:pPr>
        <w:pStyle w:val="Heading3"/>
      </w:pPr>
      <w:r>
        <w:t xml:space="preserve">4. Responsibility and review</w:t>
      </w:r>
    </w:p>
    <w:p>
      <w:pPr>
        <w:pStyle w:val="FirstParagraph"/>
      </w:pPr>
      <w:r>
        <w:t xml:space="preserve">The Managing Partners are responsible for this policy; the Sustainability Lead coordinates it, and every team member applies it. We report our progress through our annual UN Global Compact Communication on Progress and review this policy every year.</w:t>
      </w:r>
    </w:p>
    <w:p>
      <w:pPr>
        <w:pStyle w:val="Body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[October 2026]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Sabri Paşayiğit</w:t>
      </w:r>
      <w:r>
        <w:br/>
      </w:r>
      <w:r>
        <w:t xml:space="preserve">Founding Partner / General Manager</w:t>
      </w:r>
      <w:r>
        <w:br/>
      </w:r>
      <w:r>
        <w:t xml:space="preserve">SP Architects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0F2A52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b w:val="0"/>
      <w:color w:val="0F2A52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Environmental Policy</dc:title>
  <dc:creator/>
  <cp:keywords/>
  <dcterms:created xsi:type="dcterms:W3CDTF">2026-10-15T15:25:54Z</dcterms:created>
  <dcterms:modified xsi:type="dcterms:W3CDTF">2026-10-15T15:25:54Z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SP Architects · Policy 01 · UN Global Compact · Draft 1.0 · October 2026</vt:lpwstr>
  </property>
</Properties>
</file>