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w:t>
      </w:r>
      <w:r>
        <w:t xml:space="preserve"> </w:t>
      </w:r>
      <w:r>
        <w:t xml:space="preserve">of</w:t>
      </w:r>
      <w:r>
        <w:t xml:space="preserve"> </w:t>
      </w:r>
      <w:r>
        <w:t xml:space="preserve">Conduct</w:t>
      </w:r>
      <w:r>
        <w:t xml:space="preserve"> </w:t>
      </w:r>
      <w:r>
        <w:t xml:space="preserve">and</w:t>
      </w:r>
      <w:r>
        <w:t xml:space="preserve"> </w:t>
      </w:r>
      <w:r>
        <w:t xml:space="preserve">Business</w:t>
      </w:r>
      <w:r>
        <w:t xml:space="preserve"> </w:t>
      </w:r>
      <w:r>
        <w:t xml:space="preserve">Ethics</w:t>
      </w:r>
    </w:p>
    <w:p>
      <w:pPr>
        <w:pStyle w:val="Subtitle"/>
      </w:pPr>
      <w:r>
        <w:t xml:space="preserve">SP</w:t>
      </w:r>
      <w:r>
        <w:t xml:space="preserve"> </w:t>
      </w:r>
      <w:r>
        <w:t xml:space="preserve">Architects</w:t>
      </w:r>
      <w:r>
        <w:t xml:space="preserve"> </w:t>
      </w:r>
      <w:r>
        <w:t xml:space="preserve">·</w:t>
      </w:r>
      <w:r>
        <w:t xml:space="preserve"> </w:t>
      </w:r>
      <w:r>
        <w:t xml:space="preserve">Policy</w:t>
      </w:r>
      <w:r>
        <w:t xml:space="preserve"> </w:t>
      </w:r>
      <w:r>
        <w:t xml:space="preserve">03</w:t>
      </w:r>
      <w:r>
        <w:t xml:space="preserve"> </w:t>
      </w:r>
      <w:r>
        <w:t xml:space="preserve">·</w:t>
      </w:r>
      <w:r>
        <w:t xml:space="preserve"> </w:t>
      </w:r>
      <w:r>
        <w:t xml:space="preserve">UN</w:t>
      </w:r>
      <w:r>
        <w:t xml:space="preserve"> </w:t>
      </w:r>
      <w:r>
        <w:t xml:space="preserve">Global</w:t>
      </w:r>
      <w:r>
        <w:t xml:space="preserve"> </w:t>
      </w:r>
      <w:r>
        <w:t xml:space="preserve">Compact</w:t>
      </w:r>
      <w:r>
        <w:t xml:space="preserve"> </w:t>
      </w:r>
      <w:r>
        <w:t xml:space="preserve">·</w:t>
      </w:r>
      <w:r>
        <w:t xml:space="preserve"> </w:t>
      </w:r>
      <w:r>
        <w:t xml:space="preserve">Draft</w:t>
      </w:r>
      <w:r>
        <w:t xml:space="preserve"> </w:t>
      </w:r>
      <w:r>
        <w:t xml:space="preserve">1.0</w:t>
      </w:r>
      <w:r>
        <w:t xml:space="preserve"> </w:t>
      </w:r>
      <w:r>
        <w:t xml:space="preserve">·</w:t>
      </w:r>
      <w:r>
        <w:t xml:space="preserve"> </w:t>
      </w:r>
      <w:r>
        <w:t xml:space="preserve">October</w:t>
      </w:r>
      <w:r>
        <w:t xml:space="preserve"> </w:t>
      </w:r>
      <w:r>
        <w:t xml:space="preserve">2026</w:t>
      </w:r>
    </w:p>
    <w:bookmarkStart w:id="20" w:name="purpose-and-scope"/>
    <w:p>
      <w:pPr>
        <w:pStyle w:val="Heading3"/>
      </w:pPr>
      <w:r>
        <w:t xml:space="preserve">1. Purpose and scope</w:t>
      </w:r>
    </w:p>
    <w:p>
      <w:pPr>
        <w:pStyle w:val="FirstParagraph"/>
      </w:pPr>
      <w:r>
        <w:t xml:space="preserve">This Code of Conduct is the umbrella document that describes how SP Architects works. It applies to all employees, partners, interns and consultants working on behalf of the firm. Our other policies set out the details of this Code.</w:t>
      </w:r>
    </w:p>
    <w:p>
      <w:pPr>
        <w:pStyle w:val="BodyText"/>
      </w:pPr>
      <w:r>
        <w:t xml:space="preserve">As a participant of the UN Global Compact, we support its Ten Principles on human rights, labour, environment and anti-corruption.</w:t>
      </w:r>
    </w:p>
    <w:bookmarkEnd w:id="20"/>
    <w:bookmarkStart w:id="21" w:name="our-rules"/>
    <w:p>
      <w:pPr>
        <w:pStyle w:val="Heading3"/>
      </w:pPr>
      <w:r>
        <w:t xml:space="preserve">2. Our rules</w:t>
      </w:r>
    </w:p>
    <w:p>
      <w:pPr>
        <w:numPr>
          <w:ilvl w:val="0"/>
          <w:numId w:val="1001"/>
        </w:numPr>
      </w:pPr>
      <w:r>
        <w:rPr>
          <w:bCs/>
          <w:b/>
        </w:rPr>
        <w:t xml:space="preserve">Respect for people:</w:t>
      </w:r>
      <w:r>
        <w:t xml:space="preserve"> </w:t>
      </w:r>
      <w:r>
        <w:t xml:space="preserve">We treat everyone fairly and with respect. We do not accept discrimination, harassment or bullying (see Policy 5).</w:t>
      </w:r>
    </w:p>
    <w:p>
      <w:pPr>
        <w:numPr>
          <w:ilvl w:val="0"/>
          <w:numId w:val="1001"/>
        </w:numPr>
      </w:pPr>
      <w:r>
        <w:rPr>
          <w:bCs/>
          <w:b/>
        </w:rPr>
        <w:t xml:space="preserve">Integrity:</w:t>
      </w:r>
      <w:r>
        <w:t xml:space="preserve"> </w:t>
      </w:r>
      <w:r>
        <w:t xml:space="preserve">We neither offer nor accept bribes, and we do not accept gifts that could influence decisions. We declare conflicts of interest (see Policy 4).</w:t>
      </w:r>
    </w:p>
    <w:p>
      <w:pPr>
        <w:numPr>
          <w:ilvl w:val="0"/>
          <w:numId w:val="1001"/>
        </w:numPr>
      </w:pPr>
      <w:r>
        <w:rPr>
          <w:bCs/>
          <w:b/>
        </w:rPr>
        <w:t xml:space="preserve">Compliance:</w:t>
      </w:r>
      <w:r>
        <w:t xml:space="preserve"> </w:t>
      </w:r>
      <w:r>
        <w:t xml:space="preserve">We comply with the laws and professional regulations of every country where we work.</w:t>
      </w:r>
    </w:p>
    <w:p>
      <w:pPr>
        <w:numPr>
          <w:ilvl w:val="0"/>
          <w:numId w:val="1001"/>
        </w:numPr>
      </w:pPr>
      <w:r>
        <w:rPr>
          <w:bCs/>
          <w:b/>
        </w:rPr>
        <w:t xml:space="preserve">Fair competition:</w:t>
      </w:r>
      <w:r>
        <w:t xml:space="preserve"> </w:t>
      </w:r>
      <w:r>
        <w:t xml:space="preserve">We take part in tenders and proposals honestly and do not give misleading information about competitors.</w:t>
      </w:r>
    </w:p>
    <w:p>
      <w:pPr>
        <w:numPr>
          <w:ilvl w:val="0"/>
          <w:numId w:val="1001"/>
        </w:numPr>
      </w:pPr>
      <w:r>
        <w:rPr>
          <w:bCs/>
          <w:b/>
        </w:rPr>
        <w:t xml:space="preserve">Professional responsibility:</w:t>
      </w:r>
      <w:r>
        <w:t xml:space="preserve"> </w:t>
      </w:r>
      <w:r>
        <w:t xml:space="preserve">In our designs we put user safety, accessibility and the public interest first.</w:t>
      </w:r>
    </w:p>
    <w:p>
      <w:pPr>
        <w:numPr>
          <w:ilvl w:val="0"/>
          <w:numId w:val="1001"/>
        </w:numPr>
      </w:pPr>
      <w:r>
        <w:rPr>
          <w:bCs/>
          <w:b/>
        </w:rPr>
        <w:t xml:space="preserve">Environment:</w:t>
      </w:r>
      <w:r>
        <w:t xml:space="preserve"> </w:t>
      </w:r>
      <w:r>
        <w:t xml:space="preserve">We reduce our environmental impact in our projects and our office (see Policies 1 and 9).</w:t>
      </w:r>
    </w:p>
    <w:p>
      <w:pPr>
        <w:numPr>
          <w:ilvl w:val="0"/>
          <w:numId w:val="1001"/>
        </w:numPr>
      </w:pPr>
      <w:r>
        <w:rPr>
          <w:bCs/>
          <w:b/>
        </w:rPr>
        <w:t xml:space="preserve">Intellectual property and confidentiality:</w:t>
      </w:r>
      <w:r>
        <w:t xml:space="preserve"> </w:t>
      </w:r>
      <w:r>
        <w:t xml:space="preserve">We respect our own and others' design rights and keep client information confidential (see Policy 10).</w:t>
      </w:r>
    </w:p>
    <w:p>
      <w:pPr>
        <w:numPr>
          <w:ilvl w:val="0"/>
          <w:numId w:val="1001"/>
        </w:numPr>
      </w:pPr>
      <w:r>
        <w:rPr>
          <w:bCs/>
          <w:b/>
        </w:rPr>
        <w:t xml:space="preserve">Communication:</w:t>
      </w:r>
      <w:r>
        <w:t xml:space="preserve"> </w:t>
      </w:r>
      <w:r>
        <w:t xml:space="preserve">Only authorised people make public statements on behalf of the firm; we do not share client or project information on social media without permission.</w:t>
      </w:r>
    </w:p>
    <w:p>
      <w:pPr>
        <w:numPr>
          <w:ilvl w:val="0"/>
          <w:numId w:val="1001"/>
        </w:numPr>
      </w:pPr>
      <w:r>
        <w:rPr>
          <w:bCs/>
          <w:b/>
        </w:rPr>
        <w:t xml:space="preserve">Firm resources:</w:t>
      </w:r>
      <w:r>
        <w:t xml:space="preserve"> </w:t>
      </w:r>
      <w:r>
        <w:t xml:space="preserve">We use equipment, software and time for business purposes and with care.</w:t>
      </w:r>
    </w:p>
    <w:bookmarkEnd w:id="21"/>
    <w:bookmarkStart w:id="22" w:name="raising-concerns"/>
    <w:p>
      <w:pPr>
        <w:pStyle w:val="Heading3"/>
      </w:pPr>
      <w:r>
        <w:t xml:space="preserve">3. Raising concerns</w:t>
      </w:r>
    </w:p>
    <w:p>
      <w:pPr>
        <w:pStyle w:val="FirstParagraph"/>
      </w:pPr>
      <w:r>
        <w:t xml:space="preserve">Anyone who believes this Code has been breached can contact their manager, HR or [reporting e-mail]. No one will face retaliation for raising a concern in good faith (see Policy 6).</w:t>
      </w:r>
    </w:p>
    <w:bookmarkEnd w:id="22"/>
    <w:bookmarkStart w:id="23" w:name="breaches"/>
    <w:p>
      <w:pPr>
        <w:pStyle w:val="Heading3"/>
      </w:pPr>
      <w:r>
        <w:t xml:space="preserve">4. Breaches</w:t>
      </w:r>
    </w:p>
    <w:p>
      <w:pPr>
        <w:pStyle w:val="FirstParagraph"/>
      </w:pPr>
      <w:r>
        <w:t xml:space="preserve">Breaches may lead to disciplinary action in line with employment contracts and the law. Relationships with consultants and suppliers may be ended.</w:t>
      </w:r>
    </w:p>
    <w:bookmarkEnd w:id="23"/>
    <w:bookmarkStart w:id="24" w:name="responsibility-and-review"/>
    <w:p>
      <w:pPr>
        <w:pStyle w:val="Heading3"/>
      </w:pPr>
      <w:r>
        <w:t xml:space="preserve">5. Responsibility and review</w:t>
      </w:r>
    </w:p>
    <w:p>
      <w:pPr>
        <w:pStyle w:val="FirstParagraph"/>
      </w:pPr>
      <w:r>
        <w:t xml:space="preserve">The Managing Partners own this Code; HR shares it at onboarding and employees confirm each year that they have read it. The Code is reviewed every year.</w:t>
      </w:r>
    </w:p>
    <w:p>
      <w:pPr>
        <w:pStyle w:val="BodyText"/>
      </w:pPr>
      <w:r>
        <w:rPr>
          <w:bCs/>
          <w:b/>
        </w:rPr>
        <w:t xml:space="preserve">Version:</w:t>
      </w:r>
      <w:r>
        <w:t xml:space="preserve"> </w:t>
      </w:r>
      <w:r>
        <w:t xml:space="preserve">1.0 ·</w:t>
      </w:r>
      <w:r>
        <w:t xml:space="preserve"> </w:t>
      </w:r>
      <w:r>
        <w:rPr>
          <w:bCs/>
          <w:b/>
        </w:rPr>
        <w:t xml:space="preserve">Date:</w:t>
      </w:r>
      <w:r>
        <w:t xml:space="preserve"> </w:t>
      </w:r>
      <w:r>
        <w:t xml:space="preserve">[October 2026]</w:t>
      </w:r>
    </w:p>
    <w:p>
      <w:r>
        <w:pict>
          <v:rect style="width:0;height:1.5pt" o:hralign="center" o:hrstd="t" o:hr="t"/>
        </w:pict>
      </w:r>
    </w:p>
    <w:p>
      <w:pPr>
        <w:pStyle w:val="FirstParagraph"/>
      </w:pPr>
      <w:r>
        <w:t xml:space="preserve">Sabri Paşayiğit</w:t>
      </w:r>
      <w:r>
        <w:br/>
      </w:r>
      <w:r>
        <w:t xml:space="preserve">Founding Partner / General Manager</w:t>
      </w:r>
      <w:r>
        <w:br/>
      </w:r>
      <w:r>
        <w:t xml:space="preserve">SP Architects</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F2A52"/>
      <w:sz w:val="40"/>
      <w:szCs w:val="36"/>
    </w:rPr>
  </w:style>
  <w:style w:styleId="Subtitle" w:type="paragraph">
    <w:name w:val="Subtitle"/>
    <w:basedOn w:val="Title"/>
    <w:next w:val="BodyText"/>
    <w:qFormat/>
    <w:pPr>
      <w:keepNext/>
      <w:keepLines/>
      <w:spacing w:after="240" w:before="240"/>
      <w:jc w:val="center"/>
    </w:pPr>
    <w:rPr>
      <w:rFonts w:ascii="Calibri" w:hAnsi="Calibri"/>
      <w:b w:val="0"/>
      <w:color w:val="0F2A52"/>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Conduct and Business Ethics</dc:title>
  <dc:creator/>
  <cp:keywords/>
  <dcterms:created xsi:type="dcterms:W3CDTF">2026-10-15T15:25:55Z</dcterms:created>
  <dcterms:modified xsi:type="dcterms:W3CDTF">2026-10-15T15:25:55Z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SP Architects · Policy 03 · UN Global Compact · Draft 1.0 · October 2026</vt:lpwstr>
  </property>
</Properties>
</file>