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Anti-Bribery,</w:t>
      </w:r>
      <w:r>
        <w:t xml:space="preserve"> </w:t>
      </w:r>
      <w:r>
        <w:t xml:space="preserve">Gifts</w:t>
      </w:r>
      <w:r>
        <w:t xml:space="preserve"> </w:t>
      </w:r>
      <w:r>
        <w:t xml:space="preserve">and</w:t>
      </w:r>
      <w:r>
        <w:t xml:space="preserve"> </w:t>
      </w:r>
      <w:r>
        <w:t xml:space="preserve">Conflicts</w:t>
      </w:r>
      <w:r>
        <w:t xml:space="preserve"> </w:t>
      </w:r>
      <w:r>
        <w:t xml:space="preserve">of</w:t>
      </w:r>
      <w:r>
        <w:t xml:space="preserve"> </w:t>
      </w:r>
      <w:r>
        <w:t xml:space="preserve">Interest</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04</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SP Architects has zero tolerance for corruption in all its forms, including bribery and extortion (UN Global Compact Principle 10). This policy applies to all employees, partners and third parties acting on behalf of the firm. Particular care is taken in dealings with public bodies, in tenders and in projects abroad.</w:t>
      </w:r>
    </w:p>
    <w:bookmarkEnd w:id="20"/>
    <w:bookmarkStart w:id="21" w:name="rules"/>
    <w:p>
      <w:pPr>
        <w:pStyle w:val="Heading3"/>
      </w:pPr>
      <w:r>
        <w:t xml:space="preserve">2. Rules</w:t>
      </w:r>
    </w:p>
    <w:p>
      <w:pPr>
        <w:numPr>
          <w:ilvl w:val="0"/>
          <w:numId w:val="1001"/>
        </w:numPr>
      </w:pPr>
      <w:r>
        <w:rPr>
          <w:bCs/>
          <w:b/>
        </w:rPr>
        <w:t xml:space="preserve">Bribery:</w:t>
      </w:r>
      <w:r>
        <w:t xml:space="preserve"> </w:t>
      </w:r>
      <w:r>
        <w:t xml:space="preserve">We never offer, give, request or accept anything of value, directly or through an intermediary, to gain an improper advantage. Small payments to speed up routine procedures (facilitation payments) are also prohibited.</w:t>
      </w:r>
    </w:p>
    <w:p>
      <w:pPr>
        <w:numPr>
          <w:ilvl w:val="0"/>
          <w:numId w:val="1001"/>
        </w:numPr>
      </w:pPr>
      <w:r>
        <w:rPr>
          <w:bCs/>
          <w:b/>
        </w:rPr>
        <w:t xml:space="preserve">Gifts and hospitality:</w:t>
      </w:r>
      <w:r>
        <w:t xml:space="preserve"> </w:t>
      </w:r>
      <w:r>
        <w:t xml:space="preserve">Only modest, occasional gifts and hospitality in line with professional norms may be given or accepted. Any gift above [X TRY / X EUR] is reported to a manager and entered in the gift register. Cash or cash equivalents are never accepted.</w:t>
      </w:r>
    </w:p>
    <w:p>
      <w:pPr>
        <w:numPr>
          <w:ilvl w:val="0"/>
          <w:numId w:val="1001"/>
        </w:numPr>
      </w:pPr>
      <w:r>
        <w:rPr>
          <w:bCs/>
          <w:b/>
        </w:rPr>
        <w:t xml:space="preserve">Tender periods:</w:t>
      </w:r>
      <w:r>
        <w:t xml:space="preserve"> </w:t>
      </w:r>
      <w:r>
        <w:t xml:space="preserve">No gifts are given to, or accepted from, clients and decision-makers in an open tender or proposal process.</w:t>
      </w:r>
    </w:p>
    <w:p>
      <w:pPr>
        <w:numPr>
          <w:ilvl w:val="0"/>
          <w:numId w:val="1001"/>
        </w:numPr>
      </w:pPr>
      <w:r>
        <w:rPr>
          <w:bCs/>
          <w:b/>
        </w:rPr>
        <w:t xml:space="preserve">Public officials:</w:t>
      </w:r>
      <w:r>
        <w:t xml:space="preserve"> </w:t>
      </w:r>
      <w:r>
        <w:t xml:space="preserve">Gifts, hospitality or travel for public officials are offered only where lawful and with prior approval from the Managing Partners.</w:t>
      </w:r>
    </w:p>
    <w:p>
      <w:pPr>
        <w:numPr>
          <w:ilvl w:val="0"/>
          <w:numId w:val="1001"/>
        </w:numPr>
      </w:pPr>
      <w:r>
        <w:rPr>
          <w:bCs/>
          <w:b/>
        </w:rPr>
        <w:t xml:space="preserve">Conflicts of interest:</w:t>
      </w:r>
      <w:r>
        <w:t xml:space="preserve"> </w:t>
      </w:r>
      <w:r>
        <w:t xml:space="preserve">Personal, family, financial or professional relationships that could influence business decisions (for example a relative at a supplier, or similar outside work) are declared on the conflict of interest form. The person steps back from the related decision.</w:t>
      </w:r>
    </w:p>
    <w:p>
      <w:pPr>
        <w:numPr>
          <w:ilvl w:val="0"/>
          <w:numId w:val="1001"/>
        </w:numPr>
      </w:pPr>
      <w:r>
        <w:rPr>
          <w:bCs/>
          <w:b/>
        </w:rPr>
        <w:t xml:space="preserve">Donations and sponsorship:</w:t>
      </w:r>
      <w:r>
        <w:t xml:space="preserve"> </w:t>
      </w:r>
      <w:r>
        <w:t xml:space="preserve">Made only transparently, on record and with Managing Partner approval, and never to influence a decision. No political donations are made.</w:t>
      </w:r>
    </w:p>
    <w:p>
      <w:pPr>
        <w:numPr>
          <w:ilvl w:val="0"/>
          <w:numId w:val="1001"/>
        </w:numPr>
      </w:pPr>
      <w:r>
        <w:rPr>
          <w:bCs/>
          <w:b/>
        </w:rPr>
        <w:t xml:space="preserve">Intermediaries:</w:t>
      </w:r>
      <w:r>
        <w:t xml:space="preserve"> </w:t>
      </w:r>
      <w:r>
        <w:t xml:space="preserve">Basic due diligence is carried out before appointing agents, representatives or local partners; their contracts include an anti-corruption clause.</w:t>
      </w:r>
    </w:p>
    <w:p>
      <w:pPr>
        <w:numPr>
          <w:ilvl w:val="0"/>
          <w:numId w:val="1001"/>
        </w:numPr>
      </w:pPr>
      <w:r>
        <w:rPr>
          <w:bCs/>
          <w:b/>
        </w:rPr>
        <w:t xml:space="preserve">Records:</w:t>
      </w:r>
      <w:r>
        <w:t xml:space="preserve"> </w:t>
      </w:r>
      <w:r>
        <w:t xml:space="preserve">All payments are recorded accurately and completely; no off-book accounts are kept.</w:t>
      </w:r>
    </w:p>
    <w:bookmarkEnd w:id="21"/>
    <w:bookmarkStart w:id="22" w:name="in-practice"/>
    <w:p>
      <w:pPr>
        <w:pStyle w:val="Heading3"/>
      </w:pPr>
      <w:r>
        <w:t xml:space="preserve">3. In practice</w:t>
      </w:r>
    </w:p>
    <w:p>
      <w:pPr>
        <w:numPr>
          <w:ilvl w:val="0"/>
          <w:numId w:val="1002"/>
        </w:numPr>
        <w:pStyle w:val="Compact"/>
      </w:pPr>
      <w:r>
        <w:t xml:space="preserve">The gift register and conflict of interest form are kept in the [location] folder.</w:t>
      </w:r>
    </w:p>
    <w:p>
      <w:pPr>
        <w:numPr>
          <w:ilvl w:val="0"/>
          <w:numId w:val="1002"/>
        </w:numPr>
        <w:pStyle w:val="Compact"/>
      </w:pPr>
      <w:r>
        <w:t xml:space="preserve">Employees renew their conflict of interest declaration every year.</w:t>
      </w:r>
    </w:p>
    <w:p>
      <w:pPr>
        <w:numPr>
          <w:ilvl w:val="0"/>
          <w:numId w:val="1002"/>
        </w:numPr>
        <w:pStyle w:val="Compact"/>
      </w:pPr>
      <w:r>
        <w:t xml:space="preserve">Anti-corruption training is given at onboarding and once a year.</w:t>
      </w:r>
    </w:p>
    <w:p>
      <w:pPr>
        <w:numPr>
          <w:ilvl w:val="0"/>
          <w:numId w:val="1002"/>
        </w:numPr>
        <w:pStyle w:val="Compact"/>
      </w:pPr>
      <w:r>
        <w:t xml:space="preserve">Suspected cases are reported under Policy 6 and reviewed by the Managing Partners.</w:t>
      </w:r>
    </w:p>
    <w:bookmarkEnd w:id="22"/>
    <w:bookmarkStart w:id="23" w:name="responsibility-and-review"/>
    <w:p>
      <w:pPr>
        <w:pStyle w:val="Heading3"/>
      </w:pPr>
      <w:r>
        <w:t xml:space="preserve">4. Responsibility and review</w:t>
      </w:r>
    </w:p>
    <w:p>
      <w:pPr>
        <w:pStyle w:val="FirstParagraph"/>
      </w:pPr>
      <w:r>
        <w:t xml:space="preserve">The Managing Partners are responsible for this policy; the compliance programme is reviewed every year. Breaches may lead to disciplinary and legal action.</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Anti-Bribery, Gifts and Conflicts of Interest</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04 · UN Global Compact · Draft 1.0 · October 2026</vt:lpwstr>
  </property>
</Properties>
</file>