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Yolsuzlukla</w:t>
      </w:r>
      <w:r>
        <w:t xml:space="preserve"> </w:t>
      </w:r>
      <w:r>
        <w:t xml:space="preserve">Mücadele,</w:t>
      </w:r>
      <w:r>
        <w:t xml:space="preserve"> </w:t>
      </w:r>
      <w:r>
        <w:t xml:space="preserve">Hediye</w:t>
      </w:r>
      <w:r>
        <w:t xml:space="preserve"> </w:t>
      </w:r>
      <w:r>
        <w:t xml:space="preserve">ve</w:t>
      </w:r>
      <w:r>
        <w:t xml:space="preserve"> </w:t>
      </w:r>
      <w:r>
        <w:t xml:space="preserve">Çıkar</w:t>
      </w:r>
      <w:r>
        <w:t xml:space="preserve"> </w:t>
      </w:r>
      <w:r>
        <w:t xml:space="preserve">Çatışması</w:t>
      </w:r>
    </w:p>
    <w:p>
      <w:pPr>
        <w:pStyle w:val="Subtitle"/>
      </w:pPr>
      <w:r>
        <w:t xml:space="preserve">SP</w:t>
      </w:r>
      <w:r>
        <w:t xml:space="preserve"> </w:t>
      </w:r>
      <w:r>
        <w:t xml:space="preserve">Architects</w:t>
      </w:r>
      <w:r>
        <w:t xml:space="preserve"> </w:t>
      </w:r>
      <w:r>
        <w:t xml:space="preserve">·</w:t>
      </w:r>
      <w:r>
        <w:t xml:space="preserve"> </w:t>
      </w:r>
      <w:r>
        <w:t xml:space="preserve">Politika</w:t>
      </w:r>
      <w:r>
        <w:t xml:space="preserve"> </w:t>
      </w:r>
      <w:r>
        <w:t xml:space="preserve">04</w:t>
      </w:r>
      <w:r>
        <w:t xml:space="preserve"> </w:t>
      </w:r>
      <w:r>
        <w:t xml:space="preserve">·</w:t>
      </w:r>
      <w:r>
        <w:t xml:space="preserve"> </w:t>
      </w:r>
      <w:r>
        <w:t xml:space="preserve">UN</w:t>
      </w:r>
      <w:r>
        <w:t xml:space="preserve"> </w:t>
      </w:r>
      <w:r>
        <w:t xml:space="preserve">Global</w:t>
      </w:r>
      <w:r>
        <w:t xml:space="preserve"> </w:t>
      </w:r>
      <w:r>
        <w:t xml:space="preserve">Compact</w:t>
      </w:r>
      <w:r>
        <w:t xml:space="preserve"> </w:t>
      </w:r>
      <w:r>
        <w:t xml:space="preserve">·</w:t>
      </w:r>
      <w:r>
        <w:t xml:space="preserve"> </w:t>
      </w:r>
      <w:r>
        <w:t xml:space="preserve">Taslak</w:t>
      </w:r>
      <w:r>
        <w:t xml:space="preserve"> </w:t>
      </w:r>
      <w:r>
        <w:t xml:space="preserve">1.0</w:t>
      </w:r>
      <w:r>
        <w:t xml:space="preserve"> </w:t>
      </w:r>
      <w:r>
        <w:t xml:space="preserve">·</w:t>
      </w:r>
      <w:r>
        <w:t xml:space="preserve"> </w:t>
      </w:r>
      <w:r>
        <w:t xml:space="preserve">Ekim</w:t>
      </w:r>
      <w:r>
        <w:t xml:space="preserve"> </w:t>
      </w:r>
      <w:r>
        <w:t xml:space="preserve">2026</w:t>
      </w:r>
    </w:p>
    <w:bookmarkStart w:id="20" w:name="amaç-ve-kapsam"/>
    <w:p>
      <w:pPr>
        <w:pStyle w:val="Heading3"/>
      </w:pPr>
      <w:r>
        <w:t xml:space="preserve">1. Amaç ve kapsam</w:t>
      </w:r>
    </w:p>
    <w:p>
      <w:pPr>
        <w:pStyle w:val="FirstParagraph"/>
      </w:pPr>
      <w:r>
        <w:t xml:space="preserve">SP Architects her türlü yolsuzluğa, rüşvete ve şantaja karşı sıfır tolerans uygular (UN Global Compact İlke 10). Bu politika tüm çalışanlar, ortaklar ve firma adına çalışan üçüncü taraflar için geçerlidir. Kamu kurumlarıyla, ihalelerde ve yurt dışı projelerde özellikle dikkat edilir.</w:t>
      </w:r>
    </w:p>
    <w:bookmarkEnd w:id="20"/>
    <w:bookmarkStart w:id="21" w:name="kurallar"/>
    <w:p>
      <w:pPr>
        <w:pStyle w:val="Heading3"/>
      </w:pPr>
      <w:r>
        <w:t xml:space="preserve">2. Kurallar</w:t>
      </w:r>
    </w:p>
    <w:p>
      <w:pPr>
        <w:numPr>
          <w:ilvl w:val="0"/>
          <w:numId w:val="1001"/>
        </w:numPr>
      </w:pPr>
      <w:r>
        <w:rPr>
          <w:bCs/>
          <w:b/>
        </w:rPr>
        <w:t xml:space="preserve">Rüşvet:</w:t>
      </w:r>
      <w:r>
        <w:t xml:space="preserve"> </w:t>
      </w:r>
      <w:r>
        <w:t xml:space="preserve">Doğrudan ya da aracı üzerinden, hiç kimseye haksız avantaj sağlamak için değerli bir şey teklif etmez, vermez, istemez ve kabul etmeyiz. İşlemleri hızlandırmak için yapılan küçük ödemeler de yasaktır.</w:t>
      </w:r>
    </w:p>
    <w:p>
      <w:pPr>
        <w:numPr>
          <w:ilvl w:val="0"/>
          <w:numId w:val="1001"/>
        </w:numPr>
      </w:pPr>
      <w:r>
        <w:rPr>
          <w:bCs/>
          <w:b/>
        </w:rPr>
        <w:t xml:space="preserve">Hediye ve ağırlama:</w:t>
      </w:r>
      <w:r>
        <w:t xml:space="preserve"> </w:t>
      </w:r>
      <w:r>
        <w:t xml:space="preserve">Yalnızca düşük değerli, ara sıra verilen ve mesleki teamüllere uygun hediye ve ağırlamalar kabul edilir veya verilir. [X TL / X EUR] üzerindeki her hediye yöneticiye bildirilir ve hediye kaydına işlenir. Nakit veya nakde çevrilebilir hediye kabul edilmez.</w:t>
      </w:r>
    </w:p>
    <w:p>
      <w:pPr>
        <w:numPr>
          <w:ilvl w:val="0"/>
          <w:numId w:val="1001"/>
        </w:numPr>
      </w:pPr>
      <w:r>
        <w:rPr>
          <w:bCs/>
          <w:b/>
        </w:rPr>
        <w:t xml:space="preserve">İhale dönemleri:</w:t>
      </w:r>
      <w:r>
        <w:t xml:space="preserve"> </w:t>
      </w:r>
      <w:r>
        <w:t xml:space="preserve">Açık bir ihale veya teklif sürecindeki müşteri ve karar vericilere hediye verilmez, onlardan hediye kabul edilmez.</w:t>
      </w:r>
    </w:p>
    <w:p>
      <w:pPr>
        <w:numPr>
          <w:ilvl w:val="0"/>
          <w:numId w:val="1001"/>
        </w:numPr>
      </w:pPr>
      <w:r>
        <w:rPr>
          <w:bCs/>
          <w:b/>
        </w:rPr>
        <w:t xml:space="preserve">Kamu görevlileri:</w:t>
      </w:r>
      <w:r>
        <w:t xml:space="preserve"> </w:t>
      </w:r>
      <w:r>
        <w:t xml:space="preserve">Kamu görevlilerine hediye, ağırlama veya seyahat teklifi yalnızca yasalara uygunsa ve Yönetici Ortakların önceden onayı ile yapılır.</w:t>
      </w:r>
    </w:p>
    <w:p>
      <w:pPr>
        <w:numPr>
          <w:ilvl w:val="0"/>
          <w:numId w:val="1001"/>
        </w:numPr>
      </w:pPr>
      <w:r>
        <w:rPr>
          <w:bCs/>
          <w:b/>
        </w:rPr>
        <w:t xml:space="preserve">Çıkar çatışması:</w:t>
      </w:r>
      <w:r>
        <w:t xml:space="preserve"> </w:t>
      </w:r>
      <w:r>
        <w:t xml:space="preserve">İş kararlarını etkileyebilecek kişisel, ailevi, mali veya mesleki ilişkiler (örneğin bir tedarikçide akraba, dışarıda benzer iş) çıkar çatışması beyan formuyla bildirilir. Kişi ilgili karardan çekilir.</w:t>
      </w:r>
    </w:p>
    <w:p>
      <w:pPr>
        <w:numPr>
          <w:ilvl w:val="0"/>
          <w:numId w:val="1001"/>
        </w:numPr>
      </w:pPr>
      <w:r>
        <w:rPr>
          <w:bCs/>
          <w:b/>
        </w:rPr>
        <w:t xml:space="preserve">Bağış ve sponsorluk:</w:t>
      </w:r>
      <w:r>
        <w:t xml:space="preserve"> </w:t>
      </w:r>
      <w:r>
        <w:t xml:space="preserve">Yalnızca şeffaf, kayıtlı ve Yönetici Ortakların onayladığı şekilde yapılır; bir kararı etkilemek amacıyla yapılmaz. Siyasi bağış yapılmaz.</w:t>
      </w:r>
    </w:p>
    <w:p>
      <w:pPr>
        <w:numPr>
          <w:ilvl w:val="0"/>
          <w:numId w:val="1001"/>
        </w:numPr>
      </w:pPr>
      <w:r>
        <w:rPr>
          <w:bCs/>
          <w:b/>
        </w:rPr>
        <w:t xml:space="preserve">Aracılar:</w:t>
      </w:r>
      <w:r>
        <w:t xml:space="preserve"> </w:t>
      </w:r>
      <w:r>
        <w:t xml:space="preserve">Ajans, temsilci ve yerel ortaklar seçilmeden önce temel durum tespiti yapılır; sözleşmelerine yolsuzlukla mücadele maddesi eklenir.</w:t>
      </w:r>
    </w:p>
    <w:p>
      <w:pPr>
        <w:numPr>
          <w:ilvl w:val="0"/>
          <w:numId w:val="1001"/>
        </w:numPr>
      </w:pPr>
      <w:r>
        <w:rPr>
          <w:bCs/>
          <w:b/>
        </w:rPr>
        <w:t xml:space="preserve">Kayıtlar:</w:t>
      </w:r>
      <w:r>
        <w:t xml:space="preserve"> </w:t>
      </w:r>
      <w:r>
        <w:t xml:space="preserve">Tüm ödemeler doğru ve eksiksiz kaydedilir; kayıt dışı hesap tutulmaz.</w:t>
      </w:r>
    </w:p>
    <w:bookmarkEnd w:id="21"/>
    <w:bookmarkStart w:id="22" w:name="uygulama"/>
    <w:p>
      <w:pPr>
        <w:pStyle w:val="Heading3"/>
      </w:pPr>
      <w:r>
        <w:t xml:space="preserve">3. Uygulama</w:t>
      </w:r>
    </w:p>
    <w:p>
      <w:pPr>
        <w:numPr>
          <w:ilvl w:val="0"/>
          <w:numId w:val="1002"/>
        </w:numPr>
        <w:pStyle w:val="Compact"/>
      </w:pPr>
      <w:r>
        <w:t xml:space="preserve">Hediye kaydı ve çıkar çatışması beyan formu [konum] klasöründe tutulur.</w:t>
      </w:r>
    </w:p>
    <w:p>
      <w:pPr>
        <w:numPr>
          <w:ilvl w:val="0"/>
          <w:numId w:val="1002"/>
        </w:numPr>
        <w:pStyle w:val="Compact"/>
      </w:pPr>
      <w:r>
        <w:t xml:space="preserve">Çalışanlar her yıl çıkar çatışması beyanını yeniler.</w:t>
      </w:r>
    </w:p>
    <w:p>
      <w:pPr>
        <w:numPr>
          <w:ilvl w:val="0"/>
          <w:numId w:val="1002"/>
        </w:numPr>
        <w:pStyle w:val="Compact"/>
      </w:pPr>
      <w:r>
        <w:t xml:space="preserve">Yolsuzlukla mücadele eğitimi işe alımda ve yılda bir verilir.</w:t>
      </w:r>
    </w:p>
    <w:p>
      <w:pPr>
        <w:numPr>
          <w:ilvl w:val="0"/>
          <w:numId w:val="1002"/>
        </w:numPr>
        <w:pStyle w:val="Compact"/>
      </w:pPr>
      <w:r>
        <w:t xml:space="preserve">Şüpheli durumlar Politika 6 kapsamında bildirilir ve Yönetici Ortaklar tarafından incelenir.</w:t>
      </w:r>
    </w:p>
    <w:bookmarkEnd w:id="22"/>
    <w:bookmarkStart w:id="23" w:name="sorumluluk-ve-gözden-geçirme"/>
    <w:p>
      <w:pPr>
        <w:pStyle w:val="Heading3"/>
      </w:pPr>
      <w:r>
        <w:t xml:space="preserve">4. Sorumluluk ve gözden geçirme</w:t>
      </w:r>
    </w:p>
    <w:p>
      <w:pPr>
        <w:pStyle w:val="FirstParagraph"/>
      </w:pPr>
      <w:r>
        <w:t xml:space="preserve">Bu politikadan Yönetici Ortaklar sorumludur; uyum programı yılda bir gözden geçirilir. İhlaller disiplin sürecine ve yasal işleme yol açabilir.</w:t>
      </w:r>
    </w:p>
    <w:p>
      <w:pPr>
        <w:pStyle w:val="BodyText"/>
      </w:pPr>
      <w:r>
        <w:rPr>
          <w:bCs/>
          <w:b/>
        </w:rPr>
        <w:t xml:space="preserve">Sürüm:</w:t>
      </w:r>
      <w:r>
        <w:t xml:space="preserve"> </w:t>
      </w:r>
      <w:r>
        <w:t xml:space="preserve">1.0 ·</w:t>
      </w:r>
      <w:r>
        <w:t xml:space="preserve"> </w:t>
      </w:r>
      <w:r>
        <w:rPr>
          <w:bCs/>
          <w:b/>
        </w:rPr>
        <w:t xml:space="preserve">Tarih:</w:t>
      </w:r>
      <w:r>
        <w:t xml:space="preserve"> </w:t>
      </w:r>
      <w:r>
        <w:t xml:space="preserve">[Ekim 2026]</w:t>
      </w:r>
    </w:p>
    <w:p>
      <w:r>
        <w:pict>
          <v:rect style="width:0;height:1.5pt" o:hralign="center" o:hrstd="t" o:hr="t"/>
        </w:pict>
      </w:r>
    </w:p>
    <w:p>
      <w:pPr>
        <w:pStyle w:val="FirstParagraph"/>
      </w:pPr>
      <w:r>
        <w:t xml:space="preserve">Sabri Paşayiğit</w:t>
      </w:r>
      <w:r>
        <w:br/>
      </w:r>
      <w:r>
        <w:t xml:space="preserve">Kurucu Ortak / Genel Müdür</w:t>
      </w:r>
      <w:r>
        <w:br/>
      </w:r>
      <w:r>
        <w:t xml:space="preserve">SP Architects</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Yolsuzlukla Mücadele, Hediye ve Çıkar Çatışması</dc:title>
  <dc:creator/>
  <cp:keywords/>
  <dcterms:created xsi:type="dcterms:W3CDTF">2026-10-15T15:25:55Z</dcterms:created>
  <dcterms:modified xsi:type="dcterms:W3CDTF">2026-10-15T15:25:55Z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Politika 04 · UN Global Compact · Taslak 1.0 · Ekim 2026</vt:lpwstr>
  </property>
</Properties>
</file>