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Bildirim</w:t>
      </w:r>
      <w:r>
        <w:t xml:space="preserve"> </w:t>
      </w:r>
      <w:r>
        <w:t xml:space="preserve">ve</w:t>
      </w:r>
      <w:r>
        <w:t xml:space="preserve"> </w:t>
      </w:r>
      <w:r>
        <w:t xml:space="preserve">Misillemeye</w:t>
      </w:r>
      <w:r>
        <w:t xml:space="preserve"> </w:t>
      </w:r>
      <w:r>
        <w:t xml:space="preserve">Karşı</w:t>
      </w:r>
      <w:r>
        <w:t xml:space="preserve"> </w:t>
      </w:r>
      <w:r>
        <w:t xml:space="preserve">Koruma</w:t>
      </w:r>
    </w:p>
    <w:p>
      <w:pPr>
        <w:pStyle w:val="Subtitle"/>
      </w:pPr>
      <w:r>
        <w:t xml:space="preserve">SP</w:t>
      </w:r>
      <w:r>
        <w:t xml:space="preserve"> </w:t>
      </w:r>
      <w:r>
        <w:t xml:space="preserve">Architects</w:t>
      </w:r>
      <w:r>
        <w:t xml:space="preserve"> </w:t>
      </w:r>
      <w:r>
        <w:t xml:space="preserve">·</w:t>
      </w:r>
      <w:r>
        <w:t xml:space="preserve"> </w:t>
      </w:r>
      <w:r>
        <w:t xml:space="preserve">Politika</w:t>
      </w:r>
      <w:r>
        <w:t xml:space="preserve"> </w:t>
      </w:r>
      <w:r>
        <w:t xml:space="preserve">06</w:t>
      </w:r>
      <w:r>
        <w:t xml:space="preserve"> </w:t>
      </w:r>
      <w:r>
        <w:t xml:space="preserve">·</w:t>
      </w:r>
      <w:r>
        <w:t xml:space="preserve"> </w:t>
      </w:r>
      <w:r>
        <w:t xml:space="preserve">UN</w:t>
      </w:r>
      <w:r>
        <w:t xml:space="preserve"> </w:t>
      </w:r>
      <w:r>
        <w:t xml:space="preserve">Global</w:t>
      </w:r>
      <w:r>
        <w:t xml:space="preserve"> </w:t>
      </w:r>
      <w:r>
        <w:t xml:space="preserve">Compact</w:t>
      </w:r>
      <w:r>
        <w:t xml:space="preserve"> </w:t>
      </w:r>
      <w:r>
        <w:t xml:space="preserve">·</w:t>
      </w:r>
      <w:r>
        <w:t xml:space="preserve"> </w:t>
      </w:r>
      <w:r>
        <w:t xml:space="preserve">Taslak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Ekim</w:t>
      </w:r>
      <w:r>
        <w:t xml:space="preserve"> </w:t>
      </w:r>
      <w:r>
        <w:t xml:space="preserve">2026</w:t>
      </w:r>
    </w:p>
    <w:bookmarkStart w:id="20" w:name="amaç-ve-kapsam"/>
    <w:p>
      <w:pPr>
        <w:pStyle w:val="Heading3"/>
      </w:pPr>
      <w:r>
        <w:t xml:space="preserve">1. Amaç ve kapsam</w:t>
      </w:r>
    </w:p>
    <w:p>
      <w:pPr>
        <w:pStyle w:val="FirstParagraph"/>
      </w:pPr>
      <w:r>
        <w:t xml:space="preserve">SP Architects, çalışanların ve iş ortaklarının etik dışı veya yasa dışı davranışları güvenle bildirebilmesini ister. Bu politika çalışanlar, stajyerler, eski çalışanlar, tedarikçiler, alt yükleniciler ve müşteriler için geçerlidir.</w:t>
      </w:r>
    </w:p>
    <w:bookmarkEnd w:id="20"/>
    <w:bookmarkStart w:id="21" w:name="neler-bildirilebilir"/>
    <w:p>
      <w:pPr>
        <w:pStyle w:val="Heading3"/>
      </w:pPr>
      <w:r>
        <w:t xml:space="preserve">2. Neler bildirilebilir</w:t>
      </w:r>
    </w:p>
    <w:p>
      <w:pPr>
        <w:numPr>
          <w:ilvl w:val="0"/>
          <w:numId w:val="1001"/>
        </w:numPr>
      </w:pPr>
      <w:r>
        <w:t xml:space="preserve">Yolsuzluk, rüşvet, sahtecilik veya çıkar çatışması</w:t>
      </w:r>
    </w:p>
    <w:p>
      <w:pPr>
        <w:numPr>
          <w:ilvl w:val="0"/>
          <w:numId w:val="1001"/>
        </w:numPr>
      </w:pPr>
      <w:r>
        <w:t xml:space="preserve">Ayrımcılık, taciz, mobbing veya şiddet</w:t>
      </w:r>
    </w:p>
    <w:p>
      <w:pPr>
        <w:numPr>
          <w:ilvl w:val="0"/>
          <w:numId w:val="1001"/>
        </w:numPr>
      </w:pPr>
      <w:r>
        <w:t xml:space="preserve">İş sağlığı ve güvenliği riskleri</w:t>
      </w:r>
    </w:p>
    <w:p>
      <w:pPr>
        <w:numPr>
          <w:ilvl w:val="0"/>
          <w:numId w:val="1001"/>
        </w:numPr>
      </w:pPr>
      <w:r>
        <w:t xml:space="preserve">Çevresel zarar veya yasa ihlali</w:t>
      </w:r>
    </w:p>
    <w:p>
      <w:pPr>
        <w:numPr>
          <w:ilvl w:val="0"/>
          <w:numId w:val="1001"/>
        </w:numPr>
      </w:pPr>
      <w:r>
        <w:t xml:space="preserve">Kişisel veri veya gizli bilgilerin kötüye kullanımı</w:t>
      </w:r>
    </w:p>
    <w:p>
      <w:pPr>
        <w:numPr>
          <w:ilvl w:val="0"/>
          <w:numId w:val="1001"/>
        </w:numPr>
      </w:pPr>
      <w:r>
        <w:t xml:space="preserve">Davranış Kuralları'nın veya diğer politikalarımızın ihlali</w:t>
      </w:r>
    </w:p>
    <w:bookmarkEnd w:id="21"/>
    <w:bookmarkStart w:id="22" w:name="nasıl-bildirilir"/>
    <w:p>
      <w:pPr>
        <w:pStyle w:val="Heading3"/>
      </w:pPr>
      <w:r>
        <w:t xml:space="preserve">3. Nasıl bildirilir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Yönetici veya İK:</w:t>
      </w:r>
      <w:r>
        <w:t xml:space="preserve"> </w:t>
      </w:r>
      <w:r>
        <w:t xml:space="preserve">Yüz yüze veya e-posta 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Gizli bildirim kanalı:</w:t>
      </w:r>
      <w:r>
        <w:t xml:space="preserve"> </w:t>
      </w:r>
      <w:r>
        <w:t xml:space="preserve">[bildirim e-postası veya form bağlantısı]. Bildirim isimsiz yapılabilir.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Yönetici Ortaklar:</w:t>
      </w:r>
      <w:r>
        <w:t xml:space="preserve"> </w:t>
      </w:r>
      <w:r>
        <w:t xml:space="preserve">Konu bir yöneticiyi veya İK'yı ilgilendiriyorsa doğrudan Yönetici Ortaklara.</w:t>
      </w:r>
    </w:p>
    <w:bookmarkEnd w:id="22"/>
    <w:bookmarkStart w:id="23" w:name="bildirim-sonrası-süreç"/>
    <w:p>
      <w:pPr>
        <w:pStyle w:val="Heading3"/>
      </w:pPr>
      <w:r>
        <w:t xml:space="preserve">4. Bildirim sonrası süreç</w:t>
      </w:r>
    </w:p>
    <w:p>
      <w:pPr>
        <w:numPr>
          <w:ilvl w:val="0"/>
          <w:numId w:val="1003"/>
        </w:numPr>
      </w:pPr>
      <w:r>
        <w:t xml:space="preserve">Bildirimin alındığı [7] iş günü içinde bildirene iletilir.</w:t>
      </w:r>
    </w:p>
    <w:p>
      <w:pPr>
        <w:numPr>
          <w:ilvl w:val="0"/>
          <w:numId w:val="1003"/>
        </w:numPr>
      </w:pPr>
      <w:r>
        <w:t xml:space="preserve">İnceleme, konuyla ilgisi olmayan yetkili bir kişi tarafından yapılır.</w:t>
      </w:r>
    </w:p>
    <w:p>
      <w:pPr>
        <w:numPr>
          <w:ilvl w:val="0"/>
          <w:numId w:val="1003"/>
        </w:numPr>
      </w:pPr>
      <w:r>
        <w:t xml:space="preserve">Bildirene sonuç hakkında [30] gün içinde, gizlilik sınırları içinde bilgi verilir.</w:t>
      </w:r>
    </w:p>
    <w:p>
      <w:pPr>
        <w:numPr>
          <w:ilvl w:val="0"/>
          <w:numId w:val="1003"/>
        </w:numPr>
      </w:pPr>
      <w:r>
        <w:t xml:space="preserve">Bildirimler ve sonuçları gizli bir kayıtta tutulur; yıllık sayı CoP'de raporlanır.</w:t>
      </w:r>
    </w:p>
    <w:bookmarkEnd w:id="23"/>
    <w:bookmarkStart w:id="24" w:name="gizlilik-ve-misillemeye-karşı-koruma"/>
    <w:p>
      <w:pPr>
        <w:pStyle w:val="Heading3"/>
      </w:pPr>
      <w:r>
        <w:t xml:space="preserve">5. Gizlilik ve misillemeye karşı koruma</w:t>
      </w:r>
    </w:p>
    <w:p>
      <w:pPr>
        <w:numPr>
          <w:ilvl w:val="0"/>
          <w:numId w:val="1004"/>
        </w:numPr>
      </w:pPr>
      <w:r>
        <w:t xml:space="preserve">Bildirenin kimliği yalnızca incelemeyi yürütenlerle paylaşılır.</w:t>
      </w:r>
    </w:p>
    <w:p>
      <w:pPr>
        <w:numPr>
          <w:ilvl w:val="0"/>
          <w:numId w:val="1004"/>
        </w:numPr>
      </w:pPr>
      <w:r>
        <w:t xml:space="preserve">İyi niyetle bildirimde bulunan hiç kimseye işten çıkarma, rütbe indirme, dışlama veya başka bir misilleme yapılmaz; bildirimi doğrulanmasa bile.</w:t>
      </w:r>
    </w:p>
    <w:p>
      <w:pPr>
        <w:numPr>
          <w:ilvl w:val="0"/>
          <w:numId w:val="1004"/>
        </w:numPr>
      </w:pPr>
      <w:r>
        <w:t xml:space="preserve">Misilleme yapmak başlı başına disiplin konusudur.</w:t>
      </w:r>
    </w:p>
    <w:p>
      <w:pPr>
        <w:numPr>
          <w:ilvl w:val="0"/>
          <w:numId w:val="1004"/>
        </w:numPr>
      </w:pPr>
      <w:r>
        <w:t xml:space="preserve">Bilerek yanlış bildirimde bulunmak bu korumadan yararlanmaz.</w:t>
      </w:r>
    </w:p>
    <w:bookmarkEnd w:id="24"/>
    <w:bookmarkStart w:id="25" w:name="sorumluluk-ve-gözden-geçirme"/>
    <w:p>
      <w:pPr>
        <w:pStyle w:val="Heading3"/>
      </w:pPr>
      <w:r>
        <w:t xml:space="preserve">6. Sorumluluk ve gözden geçirme</w:t>
      </w:r>
    </w:p>
    <w:p>
      <w:pPr>
        <w:pStyle w:val="FirstParagraph"/>
      </w:pPr>
      <w:r>
        <w:t xml:space="preserve">Bu politikadan Yönetici Ortaklar sorumludur; İK kanalları yönetir ve tüm çalışanlara Türkçe ve İngilizce duyurur. Politika her yıl gözden geçirilir.</w:t>
      </w:r>
    </w:p>
    <w:p>
      <w:pPr>
        <w:pStyle w:val="BodyText"/>
      </w:pPr>
      <w:r>
        <w:rPr>
          <w:bCs/>
          <w:b/>
        </w:rPr>
        <w:t xml:space="preserve">Sürüm: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[Ekim 2026]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Sabri Paşayiğit</w:t>
      </w:r>
      <w:r>
        <w:br/>
      </w:r>
      <w:r>
        <w:t xml:space="preserve">Kurucu Ortak / Genel Müdür</w:t>
      </w:r>
      <w:r>
        <w:br/>
      </w:r>
      <w:r>
        <w:t xml:space="preserve">SP Architects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52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F2A5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Bildirim ve Misillemeye Karşı Koruma</dc:title>
  <dc:creator/>
  <cp:keywords/>
  <dcterms:created xsi:type="dcterms:W3CDTF">2026-10-15T15:25:55Z</dcterms:created>
  <dcterms:modified xsi:type="dcterms:W3CDTF">2026-10-15T15:25:55Z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 Architects · Politika 06 · UN Global Compact · Taslak 1.0 · Ekim 2026</vt:lpwstr>
  </property>
</Properties>
</file>