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Speak-Up</w:t>
      </w:r>
      <w:r>
        <w:t xml:space="preserve"> </w:t>
      </w:r>
      <w:r>
        <w:t xml:space="preserve">and</w:t>
      </w:r>
      <w:r>
        <w:t xml:space="preserve"> </w:t>
      </w:r>
      <w:r>
        <w:t xml:space="preserve">Whistleblower</w:t>
      </w:r>
      <w:r>
        <w:t xml:space="preserve"> </w:t>
      </w:r>
      <w:r>
        <w:t xml:space="preserve">Protection</w:t>
      </w:r>
    </w:p>
    <w:p>
      <w:pPr>
        <w:pStyle w:val="Subtitle"/>
      </w:pPr>
      <w:r>
        <w:t xml:space="preserve">SP</w:t>
      </w:r>
      <w:r>
        <w:t xml:space="preserve"> </w:t>
      </w:r>
      <w:r>
        <w:t xml:space="preserve">Architects</w:t>
      </w:r>
      <w:r>
        <w:t xml:space="preserve"> </w:t>
      </w:r>
      <w:r>
        <w:t xml:space="preserve">·</w:t>
      </w:r>
      <w:r>
        <w:t xml:space="preserve"> </w:t>
      </w:r>
      <w:r>
        <w:t xml:space="preserve">Policy</w:t>
      </w:r>
      <w:r>
        <w:t xml:space="preserve"> </w:t>
      </w:r>
      <w:r>
        <w:t xml:space="preserve">06</w:t>
      </w:r>
      <w:r>
        <w:t xml:space="preserve"> </w:t>
      </w:r>
      <w:r>
        <w:t xml:space="preserve">·</w:t>
      </w:r>
      <w:r>
        <w:t xml:space="preserve"> </w:t>
      </w:r>
      <w:r>
        <w:t xml:space="preserve">UN</w:t>
      </w:r>
      <w:r>
        <w:t xml:space="preserve"> </w:t>
      </w:r>
      <w:r>
        <w:t xml:space="preserve">Global</w:t>
      </w:r>
      <w:r>
        <w:t xml:space="preserve"> </w:t>
      </w:r>
      <w:r>
        <w:t xml:space="preserve">Compact</w:t>
      </w:r>
      <w:r>
        <w:t xml:space="preserve"> </w:t>
      </w:r>
      <w:r>
        <w:t xml:space="preserve">·</w:t>
      </w:r>
      <w:r>
        <w:t xml:space="preserve"> </w:t>
      </w:r>
      <w:r>
        <w:t xml:space="preserve">Draft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bookmarkStart w:id="20" w:name="purpose-and-scope"/>
    <w:p>
      <w:pPr>
        <w:pStyle w:val="Heading3"/>
      </w:pPr>
      <w:r>
        <w:t xml:space="preserve">1. Purpose and scope</w:t>
      </w:r>
    </w:p>
    <w:p>
      <w:pPr>
        <w:pStyle w:val="FirstParagraph"/>
      </w:pPr>
      <w:r>
        <w:t xml:space="preserve">SP Architects wants employees and business partners to be able to report unethical or illegal conduct safely. This policy applies to employees, interns, former employees, suppliers, sub-consultants and clients.</w:t>
      </w:r>
    </w:p>
    <w:bookmarkEnd w:id="20"/>
    <w:bookmarkStart w:id="21" w:name="what-can-be-reported"/>
    <w:p>
      <w:pPr>
        <w:pStyle w:val="Heading3"/>
      </w:pPr>
      <w:r>
        <w:t xml:space="preserve">2. What can be reported</w:t>
      </w:r>
    </w:p>
    <w:p>
      <w:pPr>
        <w:numPr>
          <w:ilvl w:val="0"/>
          <w:numId w:val="1001"/>
        </w:numPr>
      </w:pPr>
      <w:r>
        <w:t xml:space="preserve">Corruption, bribery, fraud or conflicts of interest</w:t>
      </w:r>
    </w:p>
    <w:p>
      <w:pPr>
        <w:numPr>
          <w:ilvl w:val="0"/>
          <w:numId w:val="1001"/>
        </w:numPr>
      </w:pPr>
      <w:r>
        <w:t xml:space="preserve">Discrimination, harassment, mobbing or violence</w:t>
      </w:r>
    </w:p>
    <w:p>
      <w:pPr>
        <w:numPr>
          <w:ilvl w:val="0"/>
          <w:numId w:val="1001"/>
        </w:numPr>
      </w:pPr>
      <w:r>
        <w:t xml:space="preserve">Health and safety risks</w:t>
      </w:r>
    </w:p>
    <w:p>
      <w:pPr>
        <w:numPr>
          <w:ilvl w:val="0"/>
          <w:numId w:val="1001"/>
        </w:numPr>
      </w:pPr>
      <w:r>
        <w:t xml:space="preserve">Environmental harm or breaches of law</w:t>
      </w:r>
    </w:p>
    <w:p>
      <w:pPr>
        <w:numPr>
          <w:ilvl w:val="0"/>
          <w:numId w:val="1001"/>
        </w:numPr>
      </w:pPr>
      <w:r>
        <w:t xml:space="preserve">Misuse of personal data or confidential information</w:t>
      </w:r>
    </w:p>
    <w:p>
      <w:pPr>
        <w:numPr>
          <w:ilvl w:val="0"/>
          <w:numId w:val="1001"/>
        </w:numPr>
      </w:pPr>
      <w:r>
        <w:t xml:space="preserve">Breaches of the Code of Conduct or our other policies</w:t>
      </w:r>
    </w:p>
    <w:bookmarkEnd w:id="21"/>
    <w:bookmarkStart w:id="22" w:name="how-to-report"/>
    <w:p>
      <w:pPr>
        <w:pStyle w:val="Heading3"/>
      </w:pPr>
      <w:r>
        <w:t xml:space="preserve">3. How to report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Manager or HR:</w:t>
      </w:r>
      <w:r>
        <w:t xml:space="preserve"> </w:t>
      </w:r>
      <w:r>
        <w:t xml:space="preserve">in person or by e-mail.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Confidential channel:</w:t>
      </w:r>
      <w:r>
        <w:t xml:space="preserve"> </w:t>
      </w:r>
      <w:r>
        <w:t xml:space="preserve">[reporting e-mail or form link]. Reports can be made anonymously.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Managing Partners:</w:t>
      </w:r>
      <w:r>
        <w:t xml:space="preserve"> </w:t>
      </w:r>
      <w:r>
        <w:t xml:space="preserve">directly, if the concern involves a manager or HR.</w:t>
      </w:r>
    </w:p>
    <w:bookmarkEnd w:id="22"/>
    <w:bookmarkStart w:id="23" w:name="after-a-report"/>
    <w:p>
      <w:pPr>
        <w:pStyle w:val="Heading3"/>
      </w:pPr>
      <w:r>
        <w:t xml:space="preserve">4. After a report</w:t>
      </w:r>
    </w:p>
    <w:p>
      <w:pPr>
        <w:numPr>
          <w:ilvl w:val="0"/>
          <w:numId w:val="1003"/>
        </w:numPr>
      </w:pPr>
      <w:r>
        <w:t xml:space="preserve">Receipt is confirmed to the reporter within [7] working days.</w:t>
      </w:r>
    </w:p>
    <w:p>
      <w:pPr>
        <w:numPr>
          <w:ilvl w:val="0"/>
          <w:numId w:val="1003"/>
        </w:numPr>
      </w:pPr>
      <w:r>
        <w:t xml:space="preserve">The investigation is carried out by an authorised person with no involvement in the matter.</w:t>
      </w:r>
    </w:p>
    <w:p>
      <w:pPr>
        <w:numPr>
          <w:ilvl w:val="0"/>
          <w:numId w:val="1003"/>
        </w:numPr>
      </w:pPr>
      <w:r>
        <w:t xml:space="preserve">The reporter is informed of the outcome within [30] days, within the limits of confidentiality.</w:t>
      </w:r>
    </w:p>
    <w:p>
      <w:pPr>
        <w:numPr>
          <w:ilvl w:val="0"/>
          <w:numId w:val="1003"/>
        </w:numPr>
      </w:pPr>
      <w:r>
        <w:t xml:space="preserve">Reports and outcomes are kept in a confidential register; the annual number is reported in our CoP.</w:t>
      </w:r>
    </w:p>
    <w:bookmarkEnd w:id="23"/>
    <w:bookmarkStart w:id="24" w:name="X6113cb437dff4e3bfabab1dce3a820be4ebe399"/>
    <w:p>
      <w:pPr>
        <w:pStyle w:val="Heading3"/>
      </w:pPr>
      <w:r>
        <w:t xml:space="preserve">5. Confidentiality and protection from retaliation</w:t>
      </w:r>
    </w:p>
    <w:p>
      <w:pPr>
        <w:numPr>
          <w:ilvl w:val="0"/>
          <w:numId w:val="1004"/>
        </w:numPr>
      </w:pPr>
      <w:r>
        <w:t xml:space="preserve">The reporter's identity is shared only with those carrying out the investigation.</w:t>
      </w:r>
    </w:p>
    <w:p>
      <w:pPr>
        <w:numPr>
          <w:ilvl w:val="0"/>
          <w:numId w:val="1004"/>
        </w:numPr>
      </w:pPr>
      <w:r>
        <w:t xml:space="preserve">No one who reports in good faith will face dismissal, demotion, exclusion or any other retaliation, even if the concern is not confirmed.</w:t>
      </w:r>
    </w:p>
    <w:p>
      <w:pPr>
        <w:numPr>
          <w:ilvl w:val="0"/>
          <w:numId w:val="1004"/>
        </w:numPr>
      </w:pPr>
      <w:r>
        <w:t xml:space="preserve">Retaliation is itself a disciplinary matter.</w:t>
      </w:r>
    </w:p>
    <w:p>
      <w:pPr>
        <w:numPr>
          <w:ilvl w:val="0"/>
          <w:numId w:val="1004"/>
        </w:numPr>
      </w:pPr>
      <w:r>
        <w:t xml:space="preserve">Knowingly false reports are not protected.</w:t>
      </w:r>
    </w:p>
    <w:bookmarkEnd w:id="24"/>
    <w:bookmarkStart w:id="25" w:name="responsibility-and-review"/>
    <w:p>
      <w:pPr>
        <w:pStyle w:val="Heading3"/>
      </w:pPr>
      <w:r>
        <w:t xml:space="preserve">6. Responsibility and review</w:t>
      </w:r>
    </w:p>
    <w:p>
      <w:pPr>
        <w:pStyle w:val="FirstParagraph"/>
      </w:pPr>
      <w:r>
        <w:t xml:space="preserve">The Managing Partners are responsible for this policy; HR manages the channels and communicates them to all employees in Turkish and English. The policy is reviewed every year.</w:t>
      </w:r>
    </w:p>
    <w:p>
      <w:pPr>
        <w:pStyle w:val="BodyText"/>
      </w:pPr>
      <w:r>
        <w:rPr>
          <w:bCs/>
          <w:b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[October 2026]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Sabri Paşayiğit</w:t>
      </w:r>
      <w:r>
        <w:br/>
      </w:r>
      <w:r>
        <w:t xml:space="preserve">Founding Partner / General Manager</w:t>
      </w:r>
      <w:r>
        <w:br/>
      </w:r>
      <w:r>
        <w:t xml:space="preserve">SP Architects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0F2A52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b w:val="0"/>
      <w:color w:val="0F2A52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Speak-Up and Whistleblower Protection</dc:title>
  <dc:creator/>
  <cp:keywords/>
  <dcterms:created xsi:type="dcterms:W3CDTF">2026-10-15T15:25:55Z</dcterms:created>
  <dcterms:modified xsi:type="dcterms:W3CDTF">2026-10-15T15:25:55Z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SP Architects · Policy 06 · UN Global Compact · Draft 1.0 · October 2026</vt:lpwstr>
  </property>
</Properties>
</file>