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w:t>
      </w:r>
      <w:r>
        <w:t xml:space="preserve"> </w:t>
      </w:r>
      <w:r>
        <w:t xml:space="preserve">Safety</w:t>
      </w:r>
      <w:r>
        <w:t xml:space="preserve"> </w:t>
      </w:r>
      <w:r>
        <w:t xml:space="preserve">and</w:t>
      </w:r>
      <w:r>
        <w:t xml:space="preserve"> </w:t>
      </w:r>
      <w:r>
        <w:t xml:space="preserve">Wellbeing</w:t>
      </w:r>
    </w:p>
    <w:p>
      <w:pPr>
        <w:pStyle w:val="Subtitle"/>
      </w:pPr>
      <w:r>
        <w:t xml:space="preserve">SP</w:t>
      </w:r>
      <w:r>
        <w:t xml:space="preserve"> </w:t>
      </w:r>
      <w:r>
        <w:t xml:space="preserve">Architects</w:t>
      </w:r>
      <w:r>
        <w:t xml:space="preserve"> </w:t>
      </w:r>
      <w:r>
        <w:t xml:space="preserve">·</w:t>
      </w:r>
      <w:r>
        <w:t xml:space="preserve"> </w:t>
      </w:r>
      <w:r>
        <w:t xml:space="preserve">Policy</w:t>
      </w:r>
      <w:r>
        <w:t xml:space="preserve"> </w:t>
      </w:r>
      <w:r>
        <w:t xml:space="preserve">07</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and-scope"/>
    <w:p>
      <w:pPr>
        <w:pStyle w:val="Heading3"/>
      </w:pPr>
      <w:r>
        <w:t xml:space="preserve">1. Purpose and scope</w:t>
      </w:r>
    </w:p>
    <w:p>
      <w:pPr>
        <w:pStyle w:val="FirstParagraph"/>
      </w:pPr>
      <w:r>
        <w:t xml:space="preserve">SP Architects is committed to a safe and healthy workplace for its employees and everyone who visits our offices. This policy covers our offices, site visits and business travel, and complements Turkish Occupational Health and Safety Law No. 6331 and our existing work accident procedure.</w:t>
      </w:r>
    </w:p>
    <w:bookmarkEnd w:id="20"/>
    <w:bookmarkStart w:id="21" w:name="our-commitments"/>
    <w:p>
      <w:pPr>
        <w:pStyle w:val="Heading3"/>
      </w:pPr>
      <w:r>
        <w:t xml:space="preserve">2. Our commitments</w:t>
      </w:r>
    </w:p>
    <w:p>
      <w:pPr>
        <w:numPr>
          <w:ilvl w:val="0"/>
          <w:numId w:val="1001"/>
        </w:numPr>
      </w:pPr>
      <w:r>
        <w:rPr>
          <w:bCs/>
          <w:b/>
        </w:rPr>
        <w:t xml:space="preserve">Compliance:</w:t>
      </w:r>
      <w:r>
        <w:t xml:space="preserve"> </w:t>
      </w:r>
      <w:r>
        <w:t xml:space="preserve">We comply with health and safety law and carry out and update risk assessments regularly.</w:t>
      </w:r>
    </w:p>
    <w:p>
      <w:pPr>
        <w:numPr>
          <w:ilvl w:val="0"/>
          <w:numId w:val="1001"/>
        </w:numPr>
      </w:pPr>
      <w:r>
        <w:rPr>
          <w:bCs/>
          <w:b/>
        </w:rPr>
        <w:t xml:space="preserve">Site safety:</w:t>
      </w:r>
      <w:r>
        <w:t xml:space="preserve"> </w:t>
      </w:r>
      <w:r>
        <w:t xml:space="preserve">Personal protective equipment is worn on site visits, the contractor's safety rules are followed and no one is sent on a site visit alone.</w:t>
      </w:r>
    </w:p>
    <w:p>
      <w:pPr>
        <w:numPr>
          <w:ilvl w:val="0"/>
          <w:numId w:val="1001"/>
        </w:numPr>
      </w:pPr>
      <w:r>
        <w:rPr>
          <w:bCs/>
          <w:b/>
        </w:rPr>
        <w:t xml:space="preserve">Ergonomics:</w:t>
      </w:r>
      <w:r>
        <w:t xml:space="preserve"> </w:t>
      </w:r>
      <w:r>
        <w:t xml:space="preserve">Workstations, screens and lighting are set up to good ergonomic standards.</w:t>
      </w:r>
    </w:p>
    <w:p>
      <w:pPr>
        <w:numPr>
          <w:ilvl w:val="0"/>
          <w:numId w:val="1001"/>
        </w:numPr>
      </w:pPr>
      <w:r>
        <w:rPr>
          <w:bCs/>
          <w:b/>
        </w:rPr>
        <w:t xml:space="preserve">Emergencies:</w:t>
      </w:r>
      <w:r>
        <w:t xml:space="preserve"> </w:t>
      </w:r>
      <w:r>
        <w:t xml:space="preserve">We keep an emergency plan, run evacuation drills and have staff trained in first aid.</w:t>
      </w:r>
    </w:p>
    <w:p>
      <w:pPr>
        <w:numPr>
          <w:ilvl w:val="0"/>
          <w:numId w:val="1001"/>
        </w:numPr>
      </w:pPr>
      <w:r>
        <w:rPr>
          <w:bCs/>
          <w:b/>
        </w:rPr>
        <w:t xml:space="preserve">Mental health and wellbeing:</w:t>
      </w:r>
      <w:r>
        <w:t xml:space="preserve"> </w:t>
      </w:r>
      <w:r>
        <w:t xml:space="preserve">We support reasonable working hours, flexible working and the right to rest, and plan workloads around deadlines.</w:t>
      </w:r>
    </w:p>
    <w:p>
      <w:pPr>
        <w:numPr>
          <w:ilvl w:val="0"/>
          <w:numId w:val="1001"/>
        </w:numPr>
      </w:pPr>
      <w:r>
        <w:rPr>
          <w:bCs/>
          <w:b/>
        </w:rPr>
        <w:t xml:space="preserve">Commuting:</w:t>
      </w:r>
      <w:r>
        <w:t xml:space="preserve"> </w:t>
      </w:r>
      <w:r>
        <w:t xml:space="preserve">We support safe and sustainable commuting through our shuttle service and public transport, and arrange a safe journey home after late working.</w:t>
      </w:r>
    </w:p>
    <w:p>
      <w:pPr>
        <w:numPr>
          <w:ilvl w:val="0"/>
          <w:numId w:val="1001"/>
        </w:numPr>
      </w:pPr>
      <w:r>
        <w:rPr>
          <w:bCs/>
          <w:b/>
        </w:rPr>
        <w:t xml:space="preserve">Smoke-free office:</w:t>
      </w:r>
      <w:r>
        <w:t xml:space="preserve"> </w:t>
      </w:r>
      <w:r>
        <w:t xml:space="preserve">No tobacco products are used inside the office.</w:t>
      </w:r>
    </w:p>
    <w:bookmarkEnd w:id="21"/>
    <w:bookmarkStart w:id="22" w:name="in-practice"/>
    <w:p>
      <w:pPr>
        <w:pStyle w:val="Heading3"/>
      </w:pPr>
      <w:r>
        <w:t xml:space="preserve">3. In practice</w:t>
      </w:r>
    </w:p>
    <w:p>
      <w:pPr>
        <w:numPr>
          <w:ilvl w:val="0"/>
          <w:numId w:val="1002"/>
        </w:numPr>
        <w:pStyle w:val="Compact"/>
      </w:pPr>
      <w:r>
        <w:t xml:space="preserve">The OHS Board / [OHS specialist] updates the risk assessment every year.</w:t>
      </w:r>
    </w:p>
    <w:p>
      <w:pPr>
        <w:numPr>
          <w:ilvl w:val="0"/>
          <w:numId w:val="1002"/>
        </w:numPr>
        <w:pStyle w:val="Compact"/>
      </w:pPr>
      <w:r>
        <w:t xml:space="preserve">New employees receive basic health and safety training; those going on site receive an additional briefing.</w:t>
      </w:r>
    </w:p>
    <w:p>
      <w:pPr>
        <w:numPr>
          <w:ilvl w:val="0"/>
          <w:numId w:val="1002"/>
        </w:numPr>
        <w:pStyle w:val="Compact"/>
      </w:pPr>
      <w:r>
        <w:t xml:space="preserve">Accidents, near misses and occupational illnesses are recorded and their root causes analysed.</w:t>
      </w:r>
    </w:p>
    <w:p>
      <w:pPr>
        <w:numPr>
          <w:ilvl w:val="0"/>
          <w:numId w:val="1002"/>
        </w:numPr>
        <w:pStyle w:val="Compact"/>
      </w:pPr>
      <w:r>
        <w:t xml:space="preserve">The work-related accident rate is reported each year in our CoP.</w:t>
      </w:r>
    </w:p>
    <w:bookmarkEnd w:id="22"/>
    <w:bookmarkStart w:id="23" w:name="responsibility-and-review"/>
    <w:p>
      <w:pPr>
        <w:pStyle w:val="Heading3"/>
      </w:pPr>
      <w:r>
        <w:t xml:space="preserve">4. Responsibility and review</w:t>
      </w:r>
    </w:p>
    <w:p>
      <w:pPr>
        <w:pStyle w:val="FirstParagraph"/>
      </w:pPr>
      <w:r>
        <w:t xml:space="preserve">The Managing Partners are responsible for this policy; the OHS Board and HR implement it. Every employee is responsible for their own safety and that of those around them, and reports risks. The policy is reviewed every year.</w:t>
      </w:r>
    </w:p>
    <w:p>
      <w:pPr>
        <w:pStyle w:val="BodyText"/>
      </w:pPr>
      <w:r>
        <w:rPr>
          <w:bCs/>
          <w:b/>
        </w:rPr>
        <w:t xml:space="preserve">Version:</w:t>
      </w:r>
      <w:r>
        <w:t xml:space="preserve"> </w:t>
      </w:r>
      <w:r>
        <w:t xml:space="preserve">1.0 ·</w:t>
      </w:r>
      <w:r>
        <w:t xml:space="preserve"> </w:t>
      </w:r>
      <w:r>
        <w:rPr>
          <w:bCs/>
          <w:b/>
        </w:rPr>
        <w:t xml:space="preserve">Date:</w:t>
      </w:r>
      <w:r>
        <w:t xml:space="preserve"> </w:t>
      </w:r>
      <w:r>
        <w:t xml:space="preserve">[October 2026]</w:t>
      </w:r>
    </w:p>
    <w:p>
      <w:r>
        <w:pict>
          <v:rect style="width:0;height:1.5pt" o:hralign="center" o:hrstd="t" o:hr="t"/>
        </w:pict>
      </w:r>
    </w:p>
    <w:p>
      <w:pPr>
        <w:pStyle w:val="FirstParagraph"/>
      </w:pPr>
      <w:r>
        <w:t xml:space="preserve">Sabri Paşayiğit</w:t>
      </w:r>
      <w:r>
        <w:br/>
      </w:r>
      <w:r>
        <w:t xml:space="preserve">Founding Partner / General Manager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Safety and Wellbeing</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Policy 07 · UN Global Compact · Draft 1.0 · October 2026</vt:lpwstr>
  </property>
</Properties>
</file>