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İş</w:t>
      </w:r>
      <w:r>
        <w:t xml:space="preserve"> </w:t>
      </w:r>
      <w:r>
        <w:t xml:space="preserve">Sağlığı,</w:t>
      </w:r>
      <w:r>
        <w:t xml:space="preserve"> </w:t>
      </w:r>
      <w:r>
        <w:t xml:space="preserve">Güvenliği</w:t>
      </w:r>
      <w:r>
        <w:t xml:space="preserve"> </w:t>
      </w:r>
      <w:r>
        <w:t xml:space="preserve">ve</w:t>
      </w:r>
      <w:r>
        <w:t xml:space="preserve"> </w:t>
      </w:r>
      <w:r>
        <w:t xml:space="preserve">Esenlik</w:t>
      </w:r>
    </w:p>
    <w:p>
      <w:pPr>
        <w:pStyle w:val="Subtitle"/>
      </w:pPr>
      <w:r>
        <w:t xml:space="preserve">SP</w:t>
      </w:r>
      <w:r>
        <w:t xml:space="preserve"> </w:t>
      </w:r>
      <w:r>
        <w:t xml:space="preserve">Architects</w:t>
      </w:r>
      <w:r>
        <w:t xml:space="preserve"> </w:t>
      </w:r>
      <w:r>
        <w:t xml:space="preserve">·</w:t>
      </w:r>
      <w:r>
        <w:t xml:space="preserve"> </w:t>
      </w:r>
      <w:r>
        <w:t xml:space="preserve">Politika</w:t>
      </w:r>
      <w:r>
        <w:t xml:space="preserve"> </w:t>
      </w:r>
      <w:r>
        <w:t xml:space="preserve">07</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ve-kapsam"/>
    <w:p>
      <w:pPr>
        <w:pStyle w:val="Heading3"/>
      </w:pPr>
      <w:r>
        <w:t xml:space="preserve">1. Amaç ve kapsam</w:t>
      </w:r>
    </w:p>
    <w:p>
      <w:pPr>
        <w:pStyle w:val="FirstParagraph"/>
      </w:pPr>
      <w:r>
        <w:t xml:space="preserve">SP Architects, çalışanları ve ofislerimizi ziyaret eden herkes için güvenli ve sağlıklı bir çalışma ortamı sağlamayı taahhüt eder. Bu politika ofislerimizi, şantiye ziyaretlerini ve iş seyahatlerini kapsar ve 6331 sayılı İş Sağlığı ve Güvenliği Kanunu ile mevcut iş kazası prosedürümüzü tamamlar.</w:t>
      </w:r>
    </w:p>
    <w:bookmarkEnd w:id="20"/>
    <w:bookmarkStart w:id="21" w:name="taahhütlerimiz"/>
    <w:p>
      <w:pPr>
        <w:pStyle w:val="Heading3"/>
      </w:pPr>
      <w:r>
        <w:t xml:space="preserve">2. Taahhütlerimiz</w:t>
      </w:r>
    </w:p>
    <w:p>
      <w:pPr>
        <w:numPr>
          <w:ilvl w:val="0"/>
          <w:numId w:val="1001"/>
        </w:numPr>
      </w:pPr>
      <w:r>
        <w:rPr>
          <w:bCs/>
          <w:b/>
        </w:rPr>
        <w:t xml:space="preserve">Yasal uyum:</w:t>
      </w:r>
      <w:r>
        <w:t xml:space="preserve"> </w:t>
      </w:r>
      <w:r>
        <w:t xml:space="preserve">İSG mevzuatına uyar, risk değerlendirmesini düzenli yapıp güncelleriz.</w:t>
      </w:r>
    </w:p>
    <w:p>
      <w:pPr>
        <w:numPr>
          <w:ilvl w:val="0"/>
          <w:numId w:val="1001"/>
        </w:numPr>
      </w:pPr>
      <w:r>
        <w:rPr>
          <w:bCs/>
          <w:b/>
        </w:rPr>
        <w:t xml:space="preserve">Şantiye güvenliği:</w:t>
      </w:r>
      <w:r>
        <w:t xml:space="preserve"> </w:t>
      </w:r>
      <w:r>
        <w:t xml:space="preserve">Şantiye ziyaretlerinde kişisel koruyucu donanım kullanılır, yüklenicinin güvenlik kurallarına uyulur ve kimse yalnız ziyarete gönderilmez.</w:t>
      </w:r>
    </w:p>
    <w:p>
      <w:pPr>
        <w:numPr>
          <w:ilvl w:val="0"/>
          <w:numId w:val="1001"/>
        </w:numPr>
      </w:pPr>
      <w:r>
        <w:rPr>
          <w:bCs/>
          <w:b/>
        </w:rPr>
        <w:t xml:space="preserve">Ergonomi:</w:t>
      </w:r>
      <w:r>
        <w:t xml:space="preserve"> </w:t>
      </w:r>
      <w:r>
        <w:t xml:space="preserve">Çalışma istasyonları, ekranlar ve aydınlatma ergonomik koşullara uygun düzenlenir.</w:t>
      </w:r>
    </w:p>
    <w:p>
      <w:pPr>
        <w:numPr>
          <w:ilvl w:val="0"/>
          <w:numId w:val="1001"/>
        </w:numPr>
      </w:pPr>
      <w:r>
        <w:rPr>
          <w:bCs/>
          <w:b/>
        </w:rPr>
        <w:t xml:space="preserve">Acil durumlar:</w:t>
      </w:r>
      <w:r>
        <w:t xml:space="preserve"> </w:t>
      </w:r>
      <w:r>
        <w:t xml:space="preserve">Acil durum planı, tahliye tatbikatları ve ilk yardım eğitimli personel bulundurulur.</w:t>
      </w:r>
    </w:p>
    <w:p>
      <w:pPr>
        <w:numPr>
          <w:ilvl w:val="0"/>
          <w:numId w:val="1001"/>
        </w:numPr>
      </w:pPr>
      <w:r>
        <w:rPr>
          <w:bCs/>
          <w:b/>
        </w:rPr>
        <w:t xml:space="preserve">Ruh sağlığı ve esenlik:</w:t>
      </w:r>
      <w:r>
        <w:t xml:space="preserve"> </w:t>
      </w:r>
      <w:r>
        <w:t xml:space="preserve">Makul çalışma saatlerini, esnek çalışmayı ve dinlenme hakkını destekleriz; teslim dönemlerinde iş yükünü planlarız.</w:t>
      </w:r>
    </w:p>
    <w:p>
      <w:pPr>
        <w:numPr>
          <w:ilvl w:val="0"/>
          <w:numId w:val="1001"/>
        </w:numPr>
      </w:pPr>
      <w:r>
        <w:rPr>
          <w:bCs/>
          <w:b/>
        </w:rPr>
        <w:t xml:space="preserve">Ulaşım:</w:t>
      </w:r>
      <w:r>
        <w:t xml:space="preserve"> </w:t>
      </w:r>
      <w:r>
        <w:t xml:space="preserve">Servis hizmeti ve toplu taşıma ile güvenli ve sürdürülebilir işe gelişi destekleriz; geç saatlerde güvenli dönüş sağlarız.</w:t>
      </w:r>
    </w:p>
    <w:p>
      <w:pPr>
        <w:numPr>
          <w:ilvl w:val="0"/>
          <w:numId w:val="1001"/>
        </w:numPr>
      </w:pPr>
      <w:r>
        <w:rPr>
          <w:bCs/>
          <w:b/>
        </w:rPr>
        <w:t xml:space="preserve">Duman içermeyen ofis:</w:t>
      </w:r>
      <w:r>
        <w:t xml:space="preserve"> </w:t>
      </w:r>
      <w:r>
        <w:t xml:space="preserve">Ofis içinde tütün ürünleri kullanılmaz.</w:t>
      </w:r>
    </w:p>
    <w:bookmarkEnd w:id="21"/>
    <w:bookmarkStart w:id="22" w:name="uygulama"/>
    <w:p>
      <w:pPr>
        <w:pStyle w:val="Heading3"/>
      </w:pPr>
      <w:r>
        <w:t xml:space="preserve">3. Uygulama</w:t>
      </w:r>
    </w:p>
    <w:p>
      <w:pPr>
        <w:numPr>
          <w:ilvl w:val="0"/>
          <w:numId w:val="1002"/>
        </w:numPr>
        <w:pStyle w:val="Compact"/>
      </w:pPr>
      <w:r>
        <w:t xml:space="preserve">İSG Kurulu / [İSG uzmanı] risk değerlendirmesini yılda bir günceller.</w:t>
      </w:r>
    </w:p>
    <w:p>
      <w:pPr>
        <w:numPr>
          <w:ilvl w:val="0"/>
          <w:numId w:val="1002"/>
        </w:numPr>
        <w:pStyle w:val="Compact"/>
      </w:pPr>
      <w:r>
        <w:t xml:space="preserve">Yeni çalışanlar işe başlarken temel İSG eğitimi alır; şantiyeye gidecekler ayrıca bilgilendirilir.</w:t>
      </w:r>
    </w:p>
    <w:p>
      <w:pPr>
        <w:numPr>
          <w:ilvl w:val="0"/>
          <w:numId w:val="1002"/>
        </w:numPr>
        <w:pStyle w:val="Compact"/>
      </w:pPr>
      <w:r>
        <w:t xml:space="preserve">Kaza, ramak kala olay ve meslek hastalıkları kayıt altına alınır, kök neden analizi yapılır.</w:t>
      </w:r>
    </w:p>
    <w:p>
      <w:pPr>
        <w:numPr>
          <w:ilvl w:val="0"/>
          <w:numId w:val="1002"/>
        </w:numPr>
        <w:pStyle w:val="Compact"/>
      </w:pPr>
      <w:r>
        <w:t xml:space="preserve">İş kazası oranı yıllık olarak CoP'de raporlanır.</w:t>
      </w:r>
    </w:p>
    <w:bookmarkEnd w:id="22"/>
    <w:bookmarkStart w:id="23" w:name="sorumluluk-ve-gözden-geçirme"/>
    <w:p>
      <w:pPr>
        <w:pStyle w:val="Heading3"/>
      </w:pPr>
      <w:r>
        <w:t xml:space="preserve">4. Sorumluluk ve gözden geçirme</w:t>
      </w:r>
    </w:p>
    <w:p>
      <w:pPr>
        <w:pStyle w:val="FirstParagraph"/>
      </w:pPr>
      <w:r>
        <w:t xml:space="preserve">Bu politikadan Yönetici Ortaklar sorumludur; İSG Kurulu ve İK uygular. Her çalışan kendi ve çevresindekilerin güvenliğinden sorumludur ve riskleri bildirir. Politika her yıl gözden geçirilir.</w:t>
      </w:r>
    </w:p>
    <w:p>
      <w:pPr>
        <w:pStyle w:val="BodyText"/>
      </w:pPr>
      <w:r>
        <w:rPr>
          <w:bCs/>
          <w:b/>
        </w:rPr>
        <w:t xml:space="preserve">Sürüm:</w:t>
      </w:r>
      <w:r>
        <w:t xml:space="preserve"> </w:t>
      </w:r>
      <w:r>
        <w:t xml:space="preserve">1.0 ·</w:t>
      </w:r>
      <w:r>
        <w:t xml:space="preserve"> </w:t>
      </w:r>
      <w:r>
        <w:rPr>
          <w:bCs/>
          <w:b/>
        </w:rPr>
        <w:t xml:space="preserve">Tarih:</w:t>
      </w:r>
      <w:r>
        <w:t xml:space="preserve"> </w:t>
      </w:r>
      <w:r>
        <w:t xml:space="preserve">[Ekim 2026]</w:t>
      </w:r>
    </w:p>
    <w:p>
      <w:r>
        <w:pict>
          <v:rect style="width:0;height:1.5pt" o:hralign="center" o:hrstd="t" o:hr="t"/>
        </w:pict>
      </w:r>
    </w:p>
    <w:p>
      <w:pPr>
        <w:pStyle w:val="FirstParagraph"/>
      </w:pPr>
      <w:r>
        <w:t xml:space="preserve">Sabri Paşayiğit</w:t>
      </w:r>
      <w:r>
        <w:br/>
      </w:r>
      <w:r>
        <w:t xml:space="preserve">Kurucu Ortak / Genel Müdür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 Sağlığı, Güvenliği ve Esenlik</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Politika 07 · UN Global Compact · Taslak 1.0 · Ekim 2026</vt:lpwstr>
  </property>
</Properties>
</file>