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Supplier</w:t>
      </w:r>
      <w:r>
        <w:t xml:space="preserve"> </w:t>
      </w:r>
      <w:r>
        <w:t xml:space="preserve">and</w:t>
      </w:r>
      <w:r>
        <w:t xml:space="preserve"> </w:t>
      </w:r>
      <w:r>
        <w:t xml:space="preserve">Sub-consultant</w:t>
      </w:r>
      <w:r>
        <w:t xml:space="preserve"> </w:t>
      </w:r>
      <w:r>
        <w:t xml:space="preserve">Code</w:t>
      </w:r>
      <w:r>
        <w:t xml:space="preserve"> </w:t>
      </w:r>
      <w:r>
        <w:t xml:space="preserve">of</w:t>
      </w:r>
      <w:r>
        <w:t xml:space="preserve"> </w:t>
      </w:r>
      <w:r>
        <w:t xml:space="preserve">Conduct</w:t>
      </w:r>
    </w:p>
    <w:p>
      <w:pPr>
        <w:pStyle w:val="Subtitle"/>
      </w:pPr>
      <w:r>
        <w:t xml:space="preserve">SP</w:t>
      </w:r>
      <w:r>
        <w:t xml:space="preserve"> </w:t>
      </w:r>
      <w:r>
        <w:t xml:space="preserve">Architects</w:t>
      </w:r>
      <w:r>
        <w:t xml:space="preserve"> </w:t>
      </w:r>
      <w:r>
        <w:t xml:space="preserve">·</w:t>
      </w:r>
      <w:r>
        <w:t xml:space="preserve"> </w:t>
      </w:r>
      <w:r>
        <w:t xml:space="preserve">Policy</w:t>
      </w:r>
      <w:r>
        <w:t xml:space="preserve"> </w:t>
      </w:r>
      <w:r>
        <w:t xml:space="preserve">08</w:t>
      </w:r>
      <w:r>
        <w:t xml:space="preserve"> </w:t>
      </w:r>
      <w:r>
        <w:t xml:space="preserve">·</w:t>
      </w:r>
      <w:r>
        <w:t xml:space="preserve"> </w:t>
      </w:r>
      <w:r>
        <w:t xml:space="preserve">UN</w:t>
      </w:r>
      <w:r>
        <w:t xml:space="preserve"> </w:t>
      </w:r>
      <w:r>
        <w:t xml:space="preserve">Global</w:t>
      </w:r>
      <w:r>
        <w:t xml:space="preserve"> </w:t>
      </w:r>
      <w:r>
        <w:t xml:space="preserve">Compact</w:t>
      </w:r>
      <w:r>
        <w:t xml:space="preserve"> </w:t>
      </w:r>
      <w:r>
        <w:t xml:space="preserve">·</w:t>
      </w:r>
      <w:r>
        <w:t xml:space="preserve"> </w:t>
      </w:r>
      <w:r>
        <w:t xml:space="preserve">Draft</w:t>
      </w:r>
      <w:r>
        <w:t xml:space="preserve"> </w:t>
      </w:r>
      <w:r>
        <w:t xml:space="preserve">1.0</w:t>
      </w:r>
      <w:r>
        <w:t xml:space="preserve"> </w:t>
      </w:r>
      <w:r>
        <w:t xml:space="preserve">·</w:t>
      </w:r>
      <w:r>
        <w:t xml:space="preserve"> </w:t>
      </w:r>
      <w:r>
        <w:t xml:space="preserve">October</w:t>
      </w:r>
      <w:r>
        <w:t xml:space="preserve"> </w:t>
      </w:r>
      <w:r>
        <w:t xml:space="preserve">2026</w:t>
      </w:r>
    </w:p>
    <w:bookmarkStart w:id="20" w:name="purpose-and-scope"/>
    <w:p>
      <w:pPr>
        <w:pStyle w:val="Heading3"/>
      </w:pPr>
      <w:r>
        <w:t xml:space="preserve">1. Purpose and scope</w:t>
      </w:r>
    </w:p>
    <w:p>
      <w:pPr>
        <w:pStyle w:val="FirstParagraph"/>
      </w:pPr>
      <w:r>
        <w:t xml:space="preserve">As a participant of the UN Global Compact, SP Architects extends its Ten Principles to its value chain. This Code applies to all suppliers, sub-consultants (structural, mechanical, electrical, landscape, etc.), freelancers and service providers who work with us.</w:t>
      </w:r>
    </w:p>
    <w:bookmarkEnd w:id="20"/>
    <w:bookmarkStart w:id="21" w:name="our-expectations"/>
    <w:p>
      <w:pPr>
        <w:pStyle w:val="Heading3"/>
      </w:pPr>
      <w:r>
        <w:t xml:space="preserve">2. Our expectations</w:t>
      </w:r>
    </w:p>
    <w:p>
      <w:pPr>
        <w:pStyle w:val="FirstParagraph"/>
      </w:pPr>
      <w:r>
        <w:rPr>
          <w:bCs/>
          <w:b/>
        </w:rPr>
        <w:t xml:space="preserve">Human rights and working conditions</w:t>
      </w:r>
    </w:p>
    <w:p>
      <w:pPr>
        <w:numPr>
          <w:ilvl w:val="0"/>
          <w:numId w:val="1001"/>
        </w:numPr>
      </w:pPr>
      <w:r>
        <w:t xml:space="preserve">No child labour or forced labour is used.</w:t>
      </w:r>
    </w:p>
    <w:p>
      <w:pPr>
        <w:numPr>
          <w:ilvl w:val="0"/>
          <w:numId w:val="1001"/>
        </w:numPr>
      </w:pPr>
      <w:r>
        <w:t xml:space="preserve">Workers are not discriminated against, are paid fairly and work within legal hours.</w:t>
      </w:r>
    </w:p>
    <w:p>
      <w:pPr>
        <w:numPr>
          <w:ilvl w:val="0"/>
          <w:numId w:val="1001"/>
        </w:numPr>
      </w:pPr>
      <w:r>
        <w:t xml:space="preserve">Workers' freedom of association is respected.</w:t>
      </w:r>
    </w:p>
    <w:p>
      <w:pPr>
        <w:numPr>
          <w:ilvl w:val="0"/>
          <w:numId w:val="1001"/>
        </w:numPr>
      </w:pPr>
      <w:r>
        <w:t xml:space="preserve">A safe and healthy workplace is provided.</w:t>
      </w:r>
    </w:p>
    <w:p>
      <w:pPr>
        <w:pStyle w:val="FirstParagraph"/>
      </w:pPr>
      <w:r>
        <w:rPr>
          <w:bCs/>
          <w:b/>
        </w:rPr>
        <w:t xml:space="preserve">Environment</w:t>
      </w:r>
    </w:p>
    <w:p>
      <w:pPr>
        <w:numPr>
          <w:ilvl w:val="0"/>
          <w:numId w:val="1002"/>
        </w:numPr>
      </w:pPr>
      <w:r>
        <w:t xml:space="preserve">Environmental law is followed; energy, water and waste management are improved.</w:t>
      </w:r>
    </w:p>
    <w:p>
      <w:pPr>
        <w:numPr>
          <w:ilvl w:val="0"/>
          <w:numId w:val="1002"/>
        </w:numPr>
      </w:pPr>
      <w:r>
        <w:t xml:space="preserve">Design consultants work towards the sustainability targets set at the start of the project.</w:t>
      </w:r>
    </w:p>
    <w:p>
      <w:pPr>
        <w:numPr>
          <w:ilvl w:val="0"/>
          <w:numId w:val="1002"/>
        </w:numPr>
      </w:pPr>
      <w:r>
        <w:t xml:space="preserve">Material suppliers provide Environmental Product Declarations (EPDs), safety data sheets and certificates on request.</w:t>
      </w:r>
    </w:p>
    <w:p>
      <w:pPr>
        <w:pStyle w:val="FirstParagraph"/>
      </w:pPr>
      <w:r>
        <w:rPr>
          <w:bCs/>
          <w:b/>
        </w:rPr>
        <w:t xml:space="preserve">Business ethics</w:t>
      </w:r>
    </w:p>
    <w:p>
      <w:pPr>
        <w:numPr>
          <w:ilvl w:val="0"/>
          <w:numId w:val="1003"/>
        </w:numPr>
      </w:pPr>
      <w:r>
        <w:t xml:space="preserve">No bribery, corruption or off-book payments.</w:t>
      </w:r>
    </w:p>
    <w:p>
      <w:pPr>
        <w:numPr>
          <w:ilvl w:val="0"/>
          <w:numId w:val="1003"/>
        </w:numPr>
      </w:pPr>
      <w:r>
        <w:t xml:space="preserve">No gifts that could influence decisions are given to SP Architects staff.</w:t>
      </w:r>
    </w:p>
    <w:p>
      <w:pPr>
        <w:numPr>
          <w:ilvl w:val="0"/>
          <w:numId w:val="1003"/>
        </w:numPr>
      </w:pPr>
      <w:r>
        <w:t xml:space="preserve">Conflicts of interest are declared.</w:t>
      </w:r>
    </w:p>
    <w:p>
      <w:pPr>
        <w:numPr>
          <w:ilvl w:val="0"/>
          <w:numId w:val="1003"/>
        </w:numPr>
      </w:pPr>
      <w:r>
        <w:t xml:space="preserve">Client and project information is kept confidential; personal data is processed in line with applicable data protection law.</w:t>
      </w:r>
    </w:p>
    <w:bookmarkEnd w:id="21"/>
    <w:bookmarkStart w:id="22" w:name="in-practice"/>
    <w:p>
      <w:pPr>
        <w:pStyle w:val="Heading3"/>
      </w:pPr>
      <w:r>
        <w:t xml:space="preserve">3. In practice</w:t>
      </w:r>
    </w:p>
    <w:p>
      <w:pPr>
        <w:numPr>
          <w:ilvl w:val="0"/>
          <w:numId w:val="1004"/>
        </w:numPr>
        <w:pStyle w:val="Compact"/>
      </w:pPr>
      <w:r>
        <w:t xml:space="preserve">This Code is shared at proposal stage and signed as an annex to contracts.</w:t>
      </w:r>
    </w:p>
    <w:p>
      <w:pPr>
        <w:numPr>
          <w:ilvl w:val="0"/>
          <w:numId w:val="1004"/>
        </w:numPr>
        <w:pStyle w:val="Compact"/>
      </w:pPr>
      <w:r>
        <w:t xml:space="preserve">Main suppliers receive a short sustainability questionnaire.</w:t>
      </w:r>
    </w:p>
    <w:p>
      <w:pPr>
        <w:numPr>
          <w:ilvl w:val="0"/>
          <w:numId w:val="1004"/>
        </w:numPr>
        <w:pStyle w:val="Compact"/>
      </w:pPr>
      <w:r>
        <w:t xml:space="preserve">Concerns can be raised through the channels in Policy 6, which are also open to suppliers.</w:t>
      </w:r>
    </w:p>
    <w:p>
      <w:pPr>
        <w:numPr>
          <w:ilvl w:val="0"/>
          <w:numId w:val="1004"/>
        </w:numPr>
        <w:pStyle w:val="Compact"/>
      </w:pPr>
      <w:r>
        <w:t xml:space="preserve">If a breach occurs, an improvement plan is requested first; serious or repeated breaches may end the relationship.</w:t>
      </w:r>
    </w:p>
    <w:bookmarkEnd w:id="22"/>
    <w:bookmarkStart w:id="23" w:name="acknowledgement"/>
    <w:p>
      <w:pPr>
        <w:pStyle w:val="Heading3"/>
      </w:pPr>
      <w:r>
        <w:t xml:space="preserve">4. Acknowledgement</w:t>
      </w:r>
    </w:p>
    <w:p>
      <w:pPr>
        <w:pStyle w:val="FirstParagraph"/>
      </w:pPr>
      <w:r>
        <w:t xml:space="preserve">Supplier / Sub-consultant: [Company name] · Authorised signatory: [Name, Title] · Signature: [ ] · Date: [ ]</w:t>
      </w:r>
    </w:p>
    <w:p>
      <w:pPr>
        <w:pStyle w:val="BodyText"/>
      </w:pPr>
      <w:r>
        <w:rPr>
          <w:bCs/>
          <w:b/>
        </w:rPr>
        <w:t xml:space="preserve">Version:</w:t>
      </w:r>
      <w:r>
        <w:t xml:space="preserve"> </w:t>
      </w:r>
      <w:r>
        <w:t xml:space="preserve">1.0 ·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[October 2026]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Sabri Paşayiğit</w:t>
      </w:r>
      <w:r>
        <w:br/>
      </w:r>
      <w:r>
        <w:t xml:space="preserve">Founding Partner / General Manager</w:t>
      </w:r>
      <w:r>
        <w:br/>
      </w:r>
      <w:r>
        <w:t xml:space="preserve">SP Architects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Theme="majorEastAsia" w:hAnsi="Calibri" w:hAnsiTheme="majorHAnsi"/>
      <w:b/>
      <w:bCs/>
      <w:color w:val="0F2A52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/>
      <w:b w:val="0"/>
      <w:color w:val="0F2A52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Supplier and Sub-consultant Code of Conduct</dc:title>
  <dc:creator/>
  <cp:keywords/>
  <dcterms:created xsi:type="dcterms:W3CDTF">2026-10-15T15:25:55Z</dcterms:created>
  <dcterms:modified xsi:type="dcterms:W3CDTF">2026-10-15T15:25:55Z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SP Architects · Policy 08 · UN Global Compact · Draft 1.0 · October 2026</vt:lpwstr>
  </property>
</Properties>
</file>