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Tedarikçi</w:t>
      </w:r>
      <w:r>
        <w:t xml:space="preserve"> </w:t>
      </w:r>
      <w:r>
        <w:t xml:space="preserve">ve</w:t>
      </w:r>
      <w:r>
        <w:t xml:space="preserve"> </w:t>
      </w:r>
      <w:r>
        <w:t xml:space="preserve">Alt</w:t>
      </w:r>
      <w:r>
        <w:t xml:space="preserve"> </w:t>
      </w:r>
      <w:r>
        <w:t xml:space="preserve">Yüklenici</w:t>
      </w:r>
      <w:r>
        <w:t xml:space="preserve"> </w:t>
      </w:r>
      <w:r>
        <w:t xml:space="preserve">Davranış</w:t>
      </w:r>
      <w:r>
        <w:t xml:space="preserve"> </w:t>
      </w:r>
      <w:r>
        <w:t xml:space="preserve">Kuralları</w:t>
      </w:r>
    </w:p>
    <w:p>
      <w:pPr>
        <w:pStyle w:val="Subtitle"/>
      </w:pPr>
      <w:r>
        <w:t xml:space="preserve">SP</w:t>
      </w:r>
      <w:r>
        <w:t xml:space="preserve"> </w:t>
      </w:r>
      <w:r>
        <w:t xml:space="preserve">Architects</w:t>
      </w:r>
      <w:r>
        <w:t xml:space="preserve"> </w:t>
      </w:r>
      <w:r>
        <w:t xml:space="preserve">·</w:t>
      </w:r>
      <w:r>
        <w:t xml:space="preserve"> </w:t>
      </w:r>
      <w:r>
        <w:t xml:space="preserve">Politika</w:t>
      </w:r>
      <w:r>
        <w:t xml:space="preserve"> </w:t>
      </w:r>
      <w:r>
        <w:t xml:space="preserve">08</w:t>
      </w:r>
      <w:r>
        <w:t xml:space="preserve"> </w:t>
      </w:r>
      <w:r>
        <w:t xml:space="preserve">·</w:t>
      </w:r>
      <w:r>
        <w:t xml:space="preserve"> </w:t>
      </w:r>
      <w:r>
        <w:t xml:space="preserve">UN</w:t>
      </w:r>
      <w:r>
        <w:t xml:space="preserve"> </w:t>
      </w:r>
      <w:r>
        <w:t xml:space="preserve">Global</w:t>
      </w:r>
      <w:r>
        <w:t xml:space="preserve"> </w:t>
      </w:r>
      <w:r>
        <w:t xml:space="preserve">Compact</w:t>
      </w:r>
      <w:r>
        <w:t xml:space="preserve"> </w:t>
      </w:r>
      <w:r>
        <w:t xml:space="preserve">·</w:t>
      </w:r>
      <w:r>
        <w:t xml:space="preserve"> </w:t>
      </w:r>
      <w:r>
        <w:t xml:space="preserve">Taslak</w:t>
      </w:r>
      <w:r>
        <w:t xml:space="preserve"> </w:t>
      </w:r>
      <w:r>
        <w:t xml:space="preserve">1.0</w:t>
      </w:r>
      <w:r>
        <w:t xml:space="preserve"> </w:t>
      </w:r>
      <w:r>
        <w:t xml:space="preserve">·</w:t>
      </w:r>
      <w:r>
        <w:t xml:space="preserve"> </w:t>
      </w:r>
      <w:r>
        <w:t xml:space="preserve">Ekim</w:t>
      </w:r>
      <w:r>
        <w:t xml:space="preserve"> </w:t>
      </w:r>
      <w:r>
        <w:t xml:space="preserve">2026</w:t>
      </w:r>
    </w:p>
    <w:bookmarkStart w:id="20" w:name="amaç-ve-kapsam"/>
    <w:p>
      <w:pPr>
        <w:pStyle w:val="Heading3"/>
      </w:pPr>
      <w:r>
        <w:t xml:space="preserve">1. Amaç ve kapsam</w:t>
      </w:r>
    </w:p>
    <w:p>
      <w:pPr>
        <w:pStyle w:val="FirstParagraph"/>
      </w:pPr>
      <w:r>
        <w:t xml:space="preserve">SP Architects, UN Global Compact katılımcısı olarak On İlke'yi değer zincirine de yayar. Bu kurallar, bizimle çalışan tüm tedarikçiler, alt yükleniciler (statik, mekanik, elektrik, peyzaj vb. disiplin danışmanları dahil), serbest çalışanlar ve hizmet sağlayıcılar için geçerlidir.</w:t>
      </w:r>
    </w:p>
    <w:bookmarkEnd w:id="20"/>
    <w:bookmarkStart w:id="21" w:name="beklentilerimiz"/>
    <w:p>
      <w:pPr>
        <w:pStyle w:val="Heading3"/>
      </w:pPr>
      <w:r>
        <w:t xml:space="preserve">2. Beklentilerimiz</w:t>
      </w:r>
    </w:p>
    <w:p>
      <w:pPr>
        <w:pStyle w:val="FirstParagraph"/>
      </w:pPr>
      <w:r>
        <w:rPr>
          <w:bCs/>
          <w:b/>
        </w:rPr>
        <w:t xml:space="preserve">İnsan hakları ve çalışma koşulları</w:t>
      </w:r>
    </w:p>
    <w:p>
      <w:pPr>
        <w:numPr>
          <w:ilvl w:val="0"/>
          <w:numId w:val="1001"/>
        </w:numPr>
      </w:pPr>
      <w:r>
        <w:t xml:space="preserve">Çocuk işçiliği ve zorla çalıştırma kullanılmaz.</w:t>
      </w:r>
    </w:p>
    <w:p>
      <w:pPr>
        <w:numPr>
          <w:ilvl w:val="0"/>
          <w:numId w:val="1001"/>
        </w:numPr>
      </w:pPr>
      <w:r>
        <w:t xml:space="preserve">Çalışanlara ayrımcılık yapılmaz; adil ücret ödenir ve yasal çalışma saatlerine uyulur.</w:t>
      </w:r>
    </w:p>
    <w:p>
      <w:pPr>
        <w:numPr>
          <w:ilvl w:val="0"/>
          <w:numId w:val="1001"/>
        </w:numPr>
      </w:pPr>
      <w:r>
        <w:t xml:space="preserve">Çalışanların örgütlenme özgürlüğüne saygı gösterilir.</w:t>
      </w:r>
    </w:p>
    <w:p>
      <w:pPr>
        <w:numPr>
          <w:ilvl w:val="0"/>
          <w:numId w:val="1001"/>
        </w:numPr>
      </w:pPr>
      <w:r>
        <w:t xml:space="preserve">Güvenli ve sağlıklı bir çalışma ortamı sağlanır.</w:t>
      </w:r>
    </w:p>
    <w:p>
      <w:pPr>
        <w:pStyle w:val="FirstParagraph"/>
      </w:pPr>
      <w:r>
        <w:rPr>
          <w:bCs/>
          <w:b/>
        </w:rPr>
        <w:t xml:space="preserve">Çevre</w:t>
      </w:r>
    </w:p>
    <w:p>
      <w:pPr>
        <w:numPr>
          <w:ilvl w:val="0"/>
          <w:numId w:val="1002"/>
        </w:numPr>
      </w:pPr>
      <w:r>
        <w:t xml:space="preserve">Çevre mevzuatına uyulur; enerji, su ve atık yönetimi iyileştirilir.</w:t>
      </w:r>
    </w:p>
    <w:p>
      <w:pPr>
        <w:numPr>
          <w:ilvl w:val="0"/>
          <w:numId w:val="1002"/>
        </w:numPr>
      </w:pPr>
      <w:r>
        <w:t xml:space="preserve">Tasarım danışmanları, projenin başında belirlenen sürdürülebilirlik hedeflerine göre çalışır.</w:t>
      </w:r>
    </w:p>
    <w:p>
      <w:pPr>
        <w:numPr>
          <w:ilvl w:val="0"/>
          <w:numId w:val="1002"/>
        </w:numPr>
      </w:pPr>
      <w:r>
        <w:t xml:space="preserve">Malzeme tedarikçileri, istendiğinde çevresel ürün beyanı (EPD), güvenlik bilgi formu ve sertifikaları sağlar.</w:t>
      </w:r>
    </w:p>
    <w:p>
      <w:pPr>
        <w:pStyle w:val="FirstParagraph"/>
      </w:pPr>
      <w:r>
        <w:rPr>
          <w:bCs/>
          <w:b/>
        </w:rPr>
        <w:t xml:space="preserve">İş etiği</w:t>
      </w:r>
    </w:p>
    <w:p>
      <w:pPr>
        <w:numPr>
          <w:ilvl w:val="0"/>
          <w:numId w:val="1003"/>
        </w:numPr>
      </w:pPr>
      <w:r>
        <w:t xml:space="preserve">Rüşvet, yolsuzluk ve kayıt dışı ödeme yapılmaz.</w:t>
      </w:r>
    </w:p>
    <w:p>
      <w:pPr>
        <w:numPr>
          <w:ilvl w:val="0"/>
          <w:numId w:val="1003"/>
        </w:numPr>
      </w:pPr>
      <w:r>
        <w:t xml:space="preserve">SP Architects çalışanlarına kararları etkileyebilecek hediye verilmez.</w:t>
      </w:r>
    </w:p>
    <w:p>
      <w:pPr>
        <w:numPr>
          <w:ilvl w:val="0"/>
          <w:numId w:val="1003"/>
        </w:numPr>
      </w:pPr>
      <w:r>
        <w:t xml:space="preserve">Çıkar çatışmaları bildirilir.</w:t>
      </w:r>
    </w:p>
    <w:p>
      <w:pPr>
        <w:numPr>
          <w:ilvl w:val="0"/>
          <w:numId w:val="1003"/>
        </w:numPr>
      </w:pPr>
      <w:r>
        <w:t xml:space="preserve">Müşteri ve proje bilgileri gizli tutulur; kişisel veriler KVKK'ya uygun işlenir.</w:t>
      </w:r>
    </w:p>
    <w:bookmarkEnd w:id="21"/>
    <w:bookmarkStart w:id="22" w:name="uygulama"/>
    <w:p>
      <w:pPr>
        <w:pStyle w:val="Heading3"/>
      </w:pPr>
      <w:r>
        <w:t xml:space="preserve">3. Uygulama</w:t>
      </w:r>
    </w:p>
    <w:p>
      <w:pPr>
        <w:numPr>
          <w:ilvl w:val="0"/>
          <w:numId w:val="1004"/>
        </w:numPr>
        <w:pStyle w:val="Compact"/>
      </w:pPr>
      <w:r>
        <w:t xml:space="preserve">Bu kurallar teklif aşamasında paylaşılır ve sözleşmelere ek olarak imzalanır.</w:t>
      </w:r>
    </w:p>
    <w:p>
      <w:pPr>
        <w:numPr>
          <w:ilvl w:val="0"/>
          <w:numId w:val="1004"/>
        </w:numPr>
        <w:pStyle w:val="Compact"/>
      </w:pPr>
      <w:r>
        <w:t xml:space="preserve">Ana tedarikçilere kısa bir sürdürülebilirlik anketi gönderilir.</w:t>
      </w:r>
    </w:p>
    <w:p>
      <w:pPr>
        <w:numPr>
          <w:ilvl w:val="0"/>
          <w:numId w:val="1004"/>
        </w:numPr>
        <w:pStyle w:val="Compact"/>
      </w:pPr>
      <w:r>
        <w:t xml:space="preserve">Endişeler Politika 6'daki kanallardan bildirilebilir; bu kanallar tedarikçilere de açıktır.</w:t>
      </w:r>
    </w:p>
    <w:p>
      <w:pPr>
        <w:numPr>
          <w:ilvl w:val="0"/>
          <w:numId w:val="1004"/>
        </w:numPr>
        <w:pStyle w:val="Compact"/>
      </w:pPr>
      <w:r>
        <w:t xml:space="preserve">İhlal durumunda önce iyileştirme planı istenir; ciddi veya tekrarlayan ihlallerde iş ilişkisi sonlandırılabilir.</w:t>
      </w:r>
    </w:p>
    <w:bookmarkEnd w:id="22"/>
    <w:bookmarkStart w:id="23" w:name="onay"/>
    <w:p>
      <w:pPr>
        <w:pStyle w:val="Heading3"/>
      </w:pPr>
      <w:r>
        <w:t xml:space="preserve">4. Onay</w:t>
      </w:r>
    </w:p>
    <w:p>
      <w:pPr>
        <w:pStyle w:val="FirstParagraph"/>
      </w:pPr>
      <w:r>
        <w:t xml:space="preserve">Tedarikçi / Alt yüklenici: [Firma adı] · Yetkili: [Ad Soyad, Unvan] · İmza: [ ] · Tarih: [ ]</w:t>
      </w:r>
    </w:p>
    <w:p>
      <w:pPr>
        <w:pStyle w:val="BodyText"/>
      </w:pPr>
      <w:r>
        <w:rPr>
          <w:bCs/>
          <w:b/>
        </w:rPr>
        <w:t xml:space="preserve">Sürüm:</w:t>
      </w:r>
      <w:r>
        <w:t xml:space="preserve"> </w:t>
      </w:r>
      <w:r>
        <w:t xml:space="preserve">1.0 ·</w:t>
      </w:r>
      <w:r>
        <w:t xml:space="preserve"> </w:t>
      </w:r>
      <w:r>
        <w:rPr>
          <w:bCs/>
          <w:b/>
        </w:rPr>
        <w:t xml:space="preserve">Tarih:</w:t>
      </w:r>
      <w:r>
        <w:t xml:space="preserve"> </w:t>
      </w:r>
      <w:r>
        <w:t xml:space="preserve">[Ekim 2026]</w:t>
      </w:r>
    </w:p>
    <w:p>
      <w:r>
        <w:pict>
          <v:rect style="width:0;height:1.5pt" o:hralign="center" o:hrstd="t" o:hr="t"/>
        </w:pict>
      </w:r>
    </w:p>
    <w:p>
      <w:pPr>
        <w:pStyle w:val="FirstParagraph"/>
      </w:pPr>
      <w:r>
        <w:t xml:space="preserve">Sabri Paşayiğit</w:t>
      </w:r>
      <w:r>
        <w:br/>
      </w:r>
      <w:r>
        <w:t xml:space="preserve">Kurucu Ortak / Genel Müdür</w:t>
      </w:r>
      <w:r>
        <w:br/>
      </w:r>
      <w:r>
        <w:t xml:space="preserve">SP Architects</w:t>
      </w:r>
    </w:p>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pPr>
      <w:spacing w:after="180" w:before="180"/>
    </w:pPr>
    <w:qFormat/>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qFormat/>
    <w:pPr>
      <w:keepNext/>
      <w:keepLines/>
      <w:spacing w:after="240" w:before="480"/>
      <w:jc w:val="center"/>
    </w:pPr>
    <w:rPr>
      <w:rFonts w:ascii="Calibri" w:asciiTheme="majorHAnsi" w:cstheme="majorBidi" w:eastAsiaTheme="majorEastAsia" w:hAnsi="Calibri" w:hAnsiTheme="majorHAnsi"/>
      <w:b/>
      <w:bCs/>
      <w:color w:val="0F2A52"/>
      <w:sz w:val="40"/>
      <w:szCs w:val="36"/>
    </w:rPr>
  </w:style>
  <w:style w:styleId="Subtitle" w:type="paragraph">
    <w:name w:val="Subtitle"/>
    <w:basedOn w:val="Title"/>
    <w:next w:val="BodyText"/>
    <w:qFormat/>
    <w:pPr>
      <w:keepNext/>
      <w:keepLines/>
      <w:spacing w:after="240" w:before="240"/>
      <w:jc w:val="center"/>
    </w:pPr>
    <w:rPr>
      <w:rFonts w:ascii="Calibri" w:hAnsi="Calibri"/>
      <w:b w:val="0"/>
      <w:color w:val="0F2A52"/>
      <w:sz w:val="24"/>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Tedarikçi ve Alt Yüklenici Davranış Kuralları</dc:title>
  <dc:creator/>
  <cp:keywords/>
  <dcterms:created xsi:type="dcterms:W3CDTF">2026-10-15T15:25:55Z</dcterms:created>
  <dcterms:modified xsi:type="dcterms:W3CDTF">2026-10-15T15:25:55Z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SP Architects · Politika 08 · UN Global Compact · Taslak 1.0 · Ekim 2026</vt:lpwstr>
  </property>
</Properties>
</file>