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Sürdürülebilir</w:t>
      </w:r>
      <w:r>
        <w:t xml:space="preserve"> </w:t>
      </w:r>
      <w:r>
        <w:t xml:space="preserve">Tasarım</w:t>
      </w:r>
      <w:r>
        <w:t xml:space="preserve"> </w:t>
      </w:r>
      <w:r>
        <w:t xml:space="preserve">ve</w:t>
      </w:r>
      <w:r>
        <w:t xml:space="preserve"> </w:t>
      </w:r>
      <w:r>
        <w:t xml:space="preserve">İklim</w:t>
      </w:r>
      <w:r>
        <w:t xml:space="preserve"> </w:t>
      </w:r>
      <w:r>
        <w:t xml:space="preserve">Politikası</w:t>
      </w:r>
    </w:p>
    <w:p>
      <w:pPr>
        <w:pStyle w:val="Subtitle"/>
      </w:pPr>
      <w:r>
        <w:t xml:space="preserve">SP</w:t>
      </w:r>
      <w:r>
        <w:t xml:space="preserve"> </w:t>
      </w:r>
      <w:r>
        <w:t xml:space="preserve">Architects</w:t>
      </w:r>
      <w:r>
        <w:t xml:space="preserve"> </w:t>
      </w:r>
      <w:r>
        <w:t xml:space="preserve">·</w:t>
      </w:r>
      <w:r>
        <w:t xml:space="preserve"> </w:t>
      </w:r>
      <w:r>
        <w:t xml:space="preserve">Politika</w:t>
      </w:r>
      <w:r>
        <w:t xml:space="preserve"> </w:t>
      </w:r>
      <w:r>
        <w:t xml:space="preserve">09</w:t>
      </w:r>
      <w:r>
        <w:t xml:space="preserve"> </w:t>
      </w:r>
      <w:r>
        <w:t xml:space="preserve">·</w:t>
      </w:r>
      <w:r>
        <w:t xml:space="preserve"> </w:t>
      </w:r>
      <w:r>
        <w:t xml:space="preserve">UN</w:t>
      </w:r>
      <w:r>
        <w:t xml:space="preserve"> </w:t>
      </w:r>
      <w:r>
        <w:t xml:space="preserve">Global</w:t>
      </w:r>
      <w:r>
        <w:t xml:space="preserve"> </w:t>
      </w:r>
      <w:r>
        <w:t xml:space="preserve">Compact</w:t>
      </w:r>
      <w:r>
        <w:t xml:space="preserve"> </w:t>
      </w:r>
      <w:r>
        <w:t xml:space="preserve">·</w:t>
      </w:r>
      <w:r>
        <w:t xml:space="preserve"> </w:t>
      </w:r>
      <w:r>
        <w:t xml:space="preserve">Taslak</w:t>
      </w:r>
      <w:r>
        <w:t xml:space="preserve"> </w:t>
      </w:r>
      <w:r>
        <w:t xml:space="preserve">1.0</w:t>
      </w:r>
      <w:r>
        <w:t xml:space="preserve"> </w:t>
      </w:r>
      <w:r>
        <w:t xml:space="preserve">·</w:t>
      </w:r>
      <w:r>
        <w:t xml:space="preserve"> </w:t>
      </w:r>
      <w:r>
        <w:t xml:space="preserve">Ekim</w:t>
      </w:r>
      <w:r>
        <w:t xml:space="preserve"> </w:t>
      </w:r>
      <w:r>
        <w:t xml:space="preserve">2026</w:t>
      </w:r>
    </w:p>
    <w:bookmarkStart w:id="20" w:name="amaç-ve-kapsam"/>
    <w:p>
      <w:pPr>
        <w:pStyle w:val="Heading3"/>
      </w:pPr>
      <w:r>
        <w:t xml:space="preserve">1. Amaç ve kapsam</w:t>
      </w:r>
    </w:p>
    <w:p>
      <w:pPr>
        <w:pStyle w:val="FirstParagraph"/>
      </w:pPr>
      <w:r>
        <w:t xml:space="preserve">En büyük etkimiz tasarladığımız binalar ve kentler üzerinden oluşur. Bu politika, projelerimizde iklim değişikliğini azaltma ve iklime uyum konusundaki asgari standartlarımızı ve ofisimizin karbon ayak izini yönetme yaklaşımımızı tanımlar. Tüm mimari, iç mimari ve master plan projelerine uygulanır.</w:t>
      </w:r>
    </w:p>
    <w:bookmarkEnd w:id="20"/>
    <w:bookmarkStart w:id="21" w:name="projelerde-asgari-standartlar"/>
    <w:p>
      <w:pPr>
        <w:pStyle w:val="Heading3"/>
      </w:pPr>
      <w:r>
        <w:t xml:space="preserve">2. Projelerde asgari standartlar</w:t>
      </w:r>
    </w:p>
    <w:p>
      <w:pPr>
        <w:pStyle w:val="FirstParagraph"/>
      </w:pPr>
      <w:r>
        <w:t xml:space="preserve">Müşteri programı izin verdiği ölçüde her projede:</w:t>
      </w:r>
    </w:p>
    <w:p>
      <w:pPr>
        <w:numPr>
          <w:ilvl w:val="0"/>
          <w:numId w:val="1001"/>
        </w:numPr>
      </w:pPr>
      <w:r>
        <w:rPr>
          <w:bCs/>
          <w:b/>
        </w:rPr>
        <w:t xml:space="preserve">İklim analizi:</w:t>
      </w:r>
      <w:r>
        <w:t xml:space="preserve"> </w:t>
      </w:r>
      <w:r>
        <w:t xml:space="preserve">Proje başında yerel iklim, sıcaklık, rüzgar ve iklim risklerini (sel, aşırı sıcak, kuraklık, deprem) değerlendiririz.</w:t>
      </w:r>
    </w:p>
    <w:p>
      <w:pPr>
        <w:numPr>
          <w:ilvl w:val="0"/>
          <w:numId w:val="1001"/>
        </w:numPr>
      </w:pPr>
      <w:r>
        <w:rPr>
          <w:bCs/>
          <w:b/>
        </w:rPr>
        <w:t xml:space="preserve">Enerji:</w:t>
      </w:r>
      <w:r>
        <w:t xml:space="preserve"> </w:t>
      </w:r>
      <w:r>
        <w:t xml:space="preserve">Pasif tasarım stratejilerini önceliklendirir, enerji modellemesi yapar ve yenilenebilir enerji öneririz.</w:t>
      </w:r>
    </w:p>
    <w:p>
      <w:pPr>
        <w:numPr>
          <w:ilvl w:val="0"/>
          <w:numId w:val="1001"/>
        </w:numPr>
      </w:pPr>
      <w:r>
        <w:rPr>
          <w:bCs/>
          <w:b/>
        </w:rPr>
        <w:t xml:space="preserve">Su:</w:t>
      </w:r>
      <w:r>
        <w:t xml:space="preserve"> </w:t>
      </w:r>
      <w:r>
        <w:t xml:space="preserve">Su tasarrufu ile yağmur suyu, gri su ve kondens geri kazanımı öneririz; özellikle su stresi yüksek bölgelerde.</w:t>
      </w:r>
    </w:p>
    <w:p>
      <w:pPr>
        <w:numPr>
          <w:ilvl w:val="0"/>
          <w:numId w:val="1001"/>
        </w:numPr>
      </w:pPr>
      <w:r>
        <w:rPr>
          <w:bCs/>
          <w:b/>
        </w:rPr>
        <w:t xml:space="preserve">Malzeme:</w:t>
      </w:r>
      <w:r>
        <w:t xml:space="preserve"> </w:t>
      </w:r>
      <w:r>
        <w:t xml:space="preserve">Yerel, düşük karbonlu, geri dönüştürülmüş içerikli ve sağlıklı malzemeleri tercih eder; sökülebilir ve uyarlanabilir tasarımı düşünürüz.</w:t>
      </w:r>
    </w:p>
    <w:p>
      <w:pPr>
        <w:numPr>
          <w:ilvl w:val="0"/>
          <w:numId w:val="1001"/>
        </w:numPr>
      </w:pPr>
      <w:r>
        <w:rPr>
          <w:bCs/>
          <w:b/>
        </w:rPr>
        <w:t xml:space="preserve">Doğa ve peyzaj:</w:t>
      </w:r>
      <w:r>
        <w:t xml:space="preserve"> </w:t>
      </w:r>
      <w:r>
        <w:t xml:space="preserve">Mevcut doğal alanları korur, yerel bitki türleri kullanır, doğa temelli çözümler öneririz.</w:t>
      </w:r>
    </w:p>
    <w:p>
      <w:pPr>
        <w:numPr>
          <w:ilvl w:val="0"/>
          <w:numId w:val="1001"/>
        </w:numPr>
      </w:pPr>
      <w:r>
        <w:rPr>
          <w:bCs/>
          <w:b/>
        </w:rPr>
        <w:t xml:space="preserve">Kentsel tasarım:</w:t>
      </w:r>
      <w:r>
        <w:t xml:space="preserve"> </w:t>
      </w:r>
      <w:r>
        <w:t xml:space="preserve">Master planlarda yürünebilirlik, toplu taşıma erişimi, yeşil ve açık alan oranı ile afet dayanıklılığını hedefleriz.</w:t>
      </w:r>
    </w:p>
    <w:p>
      <w:pPr>
        <w:numPr>
          <w:ilvl w:val="0"/>
          <w:numId w:val="1001"/>
        </w:numPr>
      </w:pPr>
      <w:r>
        <w:rPr>
          <w:bCs/>
          <w:b/>
        </w:rPr>
        <w:t xml:space="preserve">Konfor ve sağlık:</w:t>
      </w:r>
      <w:r>
        <w:t xml:space="preserve"> </w:t>
      </w:r>
      <w:r>
        <w:t xml:space="preserve">Gün ışığı, doğal havalandırma ve iç hava kalitesini analiz ederiz.</w:t>
      </w:r>
    </w:p>
    <w:p>
      <w:pPr>
        <w:pStyle w:val="FirstParagraph"/>
      </w:pPr>
      <w:r>
        <w:t xml:space="preserve">Bu analizlerin sonuçları proje raporlarında müşteriye sunulur.</w:t>
      </w:r>
    </w:p>
    <w:bookmarkEnd w:id="21"/>
    <w:bookmarkStart w:id="22" w:name="ofis-iklim-taahhütleri"/>
    <w:p>
      <w:pPr>
        <w:pStyle w:val="Heading3"/>
      </w:pPr>
      <w:r>
        <w:t xml:space="preserve">3. Ofis iklim taahhütleri</w:t>
      </w:r>
    </w:p>
    <w:p>
      <w:pPr>
        <w:numPr>
          <w:ilvl w:val="0"/>
          <w:numId w:val="1002"/>
        </w:numPr>
      </w:pPr>
      <w:r>
        <w:t xml:space="preserve">Ofis Scope 1 ve Scope 2 sera gazı emisyonlarını [2027] yılından itibaren ölçer ve raporlarız.</w:t>
      </w:r>
    </w:p>
    <w:p>
      <w:pPr>
        <w:numPr>
          <w:ilvl w:val="0"/>
          <w:numId w:val="1002"/>
        </w:numPr>
      </w:pPr>
      <w:r>
        <w:t xml:space="preserve">Ölçüm sonrasında azaltma hedefleri belirler ve ofis için bir iklim geçiş planı hazırlarız.</w:t>
      </w:r>
    </w:p>
    <w:p>
      <w:pPr>
        <w:numPr>
          <w:ilvl w:val="0"/>
          <w:numId w:val="1002"/>
        </w:numPr>
      </w:pPr>
      <w:r>
        <w:t xml:space="preserve">Seyahat ve işe ulaşım kaynaklı emisyonları (Scope 3) daha sonraki bir aşamada ele alırız.</w:t>
      </w:r>
    </w:p>
    <w:bookmarkEnd w:id="22"/>
    <w:bookmarkStart w:id="23" w:name="uygulama"/>
    <w:p>
      <w:pPr>
        <w:pStyle w:val="Heading3"/>
      </w:pPr>
      <w:r>
        <w:t xml:space="preserve">4. Uygulama</w:t>
      </w:r>
    </w:p>
    <w:p>
      <w:pPr>
        <w:numPr>
          <w:ilvl w:val="0"/>
          <w:numId w:val="1003"/>
        </w:numPr>
        <w:pStyle w:val="Compact"/>
      </w:pPr>
      <w:r>
        <w:t xml:space="preserve">Her yeni projenin başlangıç kontrol listesine iklim, enerji, su ve malzeme maddeleri eklenir.</w:t>
      </w:r>
    </w:p>
    <w:p>
      <w:pPr>
        <w:numPr>
          <w:ilvl w:val="0"/>
          <w:numId w:val="1003"/>
        </w:numPr>
        <w:pStyle w:val="Compact"/>
      </w:pPr>
      <w:r>
        <w:t xml:space="preserve">Dijital Lead analiz araçlarını ve standartları belirler; proje tasarım koordinatörleri uygular.</w:t>
      </w:r>
    </w:p>
    <w:p>
      <w:pPr>
        <w:numPr>
          <w:ilvl w:val="0"/>
          <w:numId w:val="1003"/>
        </w:numPr>
        <w:pStyle w:val="Compact"/>
      </w:pPr>
      <w:r>
        <w:t xml:space="preserve">Analiz yapılan proje oranı çeyreklik izlenir ve yıllık CoP'de raporlanır.</w:t>
      </w:r>
    </w:p>
    <w:bookmarkEnd w:id="23"/>
    <w:bookmarkStart w:id="24" w:name="sorumluluk-ve-gözden-geçirme"/>
    <w:p>
      <w:pPr>
        <w:pStyle w:val="Heading3"/>
      </w:pPr>
      <w:r>
        <w:t xml:space="preserve">5. Sorumluluk ve gözden geçirme</w:t>
      </w:r>
    </w:p>
    <w:p>
      <w:pPr>
        <w:pStyle w:val="FirstParagraph"/>
      </w:pPr>
      <w:r>
        <w:t xml:space="preserve">Bu politikadan Yönetici Ortaklar sorumludur; Sürdürülebilirlik Sorumlusu ve Dijital Lead koordine eder. Politika her yıl gözden geçirilir.</w:t>
      </w:r>
    </w:p>
    <w:p>
      <w:pPr>
        <w:pStyle w:val="BodyText"/>
      </w:pPr>
      <w:r>
        <w:rPr>
          <w:bCs/>
          <w:b/>
        </w:rPr>
        <w:t xml:space="preserve">Sürüm:</w:t>
      </w:r>
      <w:r>
        <w:t xml:space="preserve"> </w:t>
      </w:r>
      <w:r>
        <w:t xml:space="preserve">1.0 ·</w:t>
      </w:r>
      <w:r>
        <w:t xml:space="preserve"> </w:t>
      </w:r>
      <w:r>
        <w:rPr>
          <w:bCs/>
          <w:b/>
        </w:rPr>
        <w:t xml:space="preserve">Tarih:</w:t>
      </w:r>
      <w:r>
        <w:t xml:space="preserve"> </w:t>
      </w:r>
      <w:r>
        <w:t xml:space="preserve">[Ekim 2026]</w:t>
      </w:r>
    </w:p>
    <w:p>
      <w:r>
        <w:pict>
          <v:rect style="width:0;height:1.5pt" o:hralign="center" o:hrstd="t" o:hr="t"/>
        </w:pict>
      </w:r>
    </w:p>
    <w:p>
      <w:pPr>
        <w:pStyle w:val="FirstParagraph"/>
      </w:pPr>
      <w:r>
        <w:t xml:space="preserve">Sabri Paşayiğit</w:t>
      </w:r>
      <w:r>
        <w:br/>
      </w:r>
      <w:r>
        <w:t xml:space="preserve">Kurucu Ortak / Genel Müdür</w:t>
      </w:r>
      <w:r>
        <w:br/>
      </w:r>
      <w:r>
        <w:t xml:space="preserve">SP Architects</w:t>
      </w:r>
    </w:p>
    <w:bookmarkEnd w:id="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0F2A52"/>
      <w:sz w:val="40"/>
      <w:szCs w:val="36"/>
    </w:rPr>
  </w:style>
  <w:style w:styleId="Subtitle" w:type="paragraph">
    <w:name w:val="Subtitle"/>
    <w:basedOn w:val="Title"/>
    <w:next w:val="BodyText"/>
    <w:qFormat/>
    <w:pPr>
      <w:keepNext/>
      <w:keepLines/>
      <w:spacing w:after="240" w:before="240"/>
      <w:jc w:val="center"/>
    </w:pPr>
    <w:rPr>
      <w:rFonts w:ascii="Calibri" w:hAnsi="Calibri"/>
      <w:b w:val="0"/>
      <w:color w:val="0F2A52"/>
      <w:sz w:val="24"/>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Sürdürülebilir Tasarım ve İklim Politikası</dc:title>
  <dc:creator/>
  <cp:keywords/>
  <dcterms:created xsi:type="dcterms:W3CDTF">2026-10-15T15:25:55Z</dcterms:created>
  <dcterms:modified xsi:type="dcterms:W3CDTF">2026-10-15T15:25:55Z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SP Architects · Politika 09 · UN Global Compact · Taslak 1.0 · Ekim 2026</vt:lpwstr>
  </property>
</Properties>
</file>