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Sustainable</w:t>
      </w:r>
      <w:r>
        <w:t xml:space="preserve"> </w:t>
      </w:r>
      <w:r>
        <w:t xml:space="preserve">Design</w:t>
      </w:r>
      <w:r>
        <w:t xml:space="preserve"> </w:t>
      </w:r>
      <w:r>
        <w:t xml:space="preserve">and</w:t>
      </w:r>
      <w:r>
        <w:t xml:space="preserve"> </w:t>
      </w:r>
      <w:r>
        <w:t xml:space="preserve">Climate</w:t>
      </w:r>
      <w:r>
        <w:t xml:space="preserve"> </w:t>
      </w:r>
      <w:r>
        <w:t xml:space="preserve">Policy</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09</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Our greatest impact comes through the buildings and cities we design. This policy sets out our minimum standards for climate mitigation and adaptation in our projects, and our approach to managing our office's carbon footprint. It applies to all architecture, interior and masterplanning projects.</w:t>
      </w:r>
    </w:p>
    <w:bookmarkEnd w:id="20"/>
    <w:bookmarkStart w:id="21" w:name="minimum-standards-in-projects"/>
    <w:p>
      <w:pPr>
        <w:pStyle w:val="Heading3"/>
      </w:pPr>
      <w:r>
        <w:t xml:space="preserve">2. Minimum standards in projects</w:t>
      </w:r>
    </w:p>
    <w:p>
      <w:pPr>
        <w:pStyle w:val="FirstParagraph"/>
      </w:pPr>
      <w:r>
        <w:t xml:space="preserve">Where the client brief allows, in every project we:</w:t>
      </w:r>
    </w:p>
    <w:p>
      <w:pPr>
        <w:numPr>
          <w:ilvl w:val="0"/>
          <w:numId w:val="1001"/>
        </w:numPr>
      </w:pPr>
      <w:r>
        <w:rPr>
          <w:bCs/>
          <w:b/>
        </w:rPr>
        <w:t xml:space="preserve">Climate analysis:</w:t>
      </w:r>
      <w:r>
        <w:t xml:space="preserve"> </w:t>
      </w:r>
      <w:r>
        <w:t xml:space="preserve">Assess local climate, temperature, wind and climate risks (flood, extreme heat, drought, earthquake) at the start of the project.</w:t>
      </w:r>
    </w:p>
    <w:p>
      <w:pPr>
        <w:numPr>
          <w:ilvl w:val="0"/>
          <w:numId w:val="1001"/>
        </w:numPr>
      </w:pPr>
      <w:r>
        <w:rPr>
          <w:bCs/>
          <w:b/>
        </w:rPr>
        <w:t xml:space="preserve">Energy:</w:t>
      </w:r>
      <w:r>
        <w:t xml:space="preserve"> </w:t>
      </w:r>
      <w:r>
        <w:t xml:space="preserve">Prioritise passive design strategies, carry out energy modelling and propose renewable energy.</w:t>
      </w:r>
    </w:p>
    <w:p>
      <w:pPr>
        <w:numPr>
          <w:ilvl w:val="0"/>
          <w:numId w:val="1001"/>
        </w:numPr>
      </w:pPr>
      <w:r>
        <w:rPr>
          <w:bCs/>
          <w:b/>
        </w:rPr>
        <w:t xml:space="preserve">Water:</w:t>
      </w:r>
      <w:r>
        <w:t xml:space="preserve"> </w:t>
      </w:r>
      <w:r>
        <w:t xml:space="preserve">Propose water saving and the recovery of rainwater, grey water and condensate, especially in water-stressed regions.</w:t>
      </w:r>
    </w:p>
    <w:p>
      <w:pPr>
        <w:numPr>
          <w:ilvl w:val="0"/>
          <w:numId w:val="1001"/>
        </w:numPr>
      </w:pPr>
      <w:r>
        <w:rPr>
          <w:bCs/>
          <w:b/>
        </w:rPr>
        <w:t xml:space="preserve">Materials:</w:t>
      </w:r>
      <w:r>
        <w:t xml:space="preserve"> </w:t>
      </w:r>
      <w:r>
        <w:t xml:space="preserve">Prefer local, low-carbon, recycled-content and healthy materials, and consider design for disassembly and adaptability.</w:t>
      </w:r>
    </w:p>
    <w:p>
      <w:pPr>
        <w:numPr>
          <w:ilvl w:val="0"/>
          <w:numId w:val="1001"/>
        </w:numPr>
      </w:pPr>
      <w:r>
        <w:rPr>
          <w:bCs/>
          <w:b/>
        </w:rPr>
        <w:t xml:space="preserve">Nature and landscape:</w:t>
      </w:r>
      <w:r>
        <w:t xml:space="preserve"> </w:t>
      </w:r>
      <w:r>
        <w:t xml:space="preserve">Protect existing natural areas, use native plant species and propose nature-based solutions.</w:t>
      </w:r>
    </w:p>
    <w:p>
      <w:pPr>
        <w:numPr>
          <w:ilvl w:val="0"/>
          <w:numId w:val="1001"/>
        </w:numPr>
      </w:pPr>
      <w:r>
        <w:rPr>
          <w:bCs/>
          <w:b/>
        </w:rPr>
        <w:t xml:space="preserve">Urban design:</w:t>
      </w:r>
      <w:r>
        <w:t xml:space="preserve"> </w:t>
      </w:r>
      <w:r>
        <w:t xml:space="preserve">Aim for walkability, access to public transport, green and open space, and disaster resilience in masterplans.</w:t>
      </w:r>
    </w:p>
    <w:p>
      <w:pPr>
        <w:numPr>
          <w:ilvl w:val="0"/>
          <w:numId w:val="1001"/>
        </w:numPr>
      </w:pPr>
      <w:r>
        <w:rPr>
          <w:bCs/>
          <w:b/>
        </w:rPr>
        <w:t xml:space="preserve">Comfort and health:</w:t>
      </w:r>
      <w:r>
        <w:t xml:space="preserve"> </w:t>
      </w:r>
      <w:r>
        <w:t xml:space="preserve">Analyse daylight, natural ventilation and indoor air quality.</w:t>
      </w:r>
    </w:p>
    <w:p>
      <w:pPr>
        <w:pStyle w:val="FirstParagraph"/>
      </w:pPr>
      <w:r>
        <w:t xml:space="preserve">The results of these analyses are presented to the client in project reports.</w:t>
      </w:r>
    </w:p>
    <w:bookmarkEnd w:id="21"/>
    <w:bookmarkStart w:id="22" w:name="office-climate-commitments"/>
    <w:p>
      <w:pPr>
        <w:pStyle w:val="Heading3"/>
      </w:pPr>
      <w:r>
        <w:t xml:space="preserve">3. Office climate commitments</w:t>
      </w:r>
    </w:p>
    <w:p>
      <w:pPr>
        <w:numPr>
          <w:ilvl w:val="0"/>
          <w:numId w:val="1002"/>
        </w:numPr>
      </w:pPr>
      <w:r>
        <w:t xml:space="preserve">We will measure and report our office Scope 1 and Scope 2 greenhouse gas emissions from [2027].</w:t>
      </w:r>
    </w:p>
    <w:p>
      <w:pPr>
        <w:numPr>
          <w:ilvl w:val="0"/>
          <w:numId w:val="1002"/>
        </w:numPr>
      </w:pPr>
      <w:r>
        <w:t xml:space="preserve">After measuring, we will set reduction targets and prepare a climate transition plan for the office.</w:t>
      </w:r>
    </w:p>
    <w:p>
      <w:pPr>
        <w:numPr>
          <w:ilvl w:val="0"/>
          <w:numId w:val="1002"/>
        </w:numPr>
      </w:pPr>
      <w:r>
        <w:t xml:space="preserve">We will address emissions from travel and commuting (Scope 3) at a later stage.</w:t>
      </w:r>
    </w:p>
    <w:bookmarkEnd w:id="22"/>
    <w:bookmarkStart w:id="23" w:name="in-practice"/>
    <w:p>
      <w:pPr>
        <w:pStyle w:val="Heading3"/>
      </w:pPr>
      <w:r>
        <w:t xml:space="preserve">4. In practice</w:t>
      </w:r>
    </w:p>
    <w:p>
      <w:pPr>
        <w:numPr>
          <w:ilvl w:val="0"/>
          <w:numId w:val="1003"/>
        </w:numPr>
        <w:pStyle w:val="Compact"/>
      </w:pPr>
      <w:r>
        <w:t xml:space="preserve">Climate, energy, water and materials items are added to the start-up checklist for every new project.</w:t>
      </w:r>
    </w:p>
    <w:p>
      <w:pPr>
        <w:numPr>
          <w:ilvl w:val="0"/>
          <w:numId w:val="1003"/>
        </w:numPr>
        <w:pStyle w:val="Compact"/>
      </w:pPr>
      <w:r>
        <w:t xml:space="preserve">The Digital Lead sets analysis tools and standards; project design coordinators apply them.</w:t>
      </w:r>
    </w:p>
    <w:p>
      <w:pPr>
        <w:numPr>
          <w:ilvl w:val="0"/>
          <w:numId w:val="1003"/>
        </w:numPr>
        <w:pStyle w:val="Compact"/>
      </w:pPr>
      <w:r>
        <w:t xml:space="preserve">The share of projects with analyses is tracked quarterly and reported in our annual CoP.</w:t>
      </w:r>
    </w:p>
    <w:bookmarkEnd w:id="23"/>
    <w:bookmarkStart w:id="24" w:name="responsibility-and-review"/>
    <w:p>
      <w:pPr>
        <w:pStyle w:val="Heading3"/>
      </w:pPr>
      <w:r>
        <w:t xml:space="preserve">5. Responsibility and review</w:t>
      </w:r>
    </w:p>
    <w:p>
      <w:pPr>
        <w:pStyle w:val="FirstParagraph"/>
      </w:pPr>
      <w:r>
        <w:t xml:space="preserve">The Managing Partners are responsible for this policy; the Sustainability Lead and Digital Lead coordinate it. The policy is reviewed every year.</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Design and Climate Policy</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09 · UN Global Compact · Draft 1.0 · October 2026</vt:lpwstr>
  </property>
</Properties>
</file>