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Data</w:t>
      </w:r>
      <w:r>
        <w:t xml:space="preserve"> </w:t>
      </w:r>
      <w:r>
        <w:t xml:space="preserve">Protection</w:t>
      </w:r>
      <w:r>
        <w:t xml:space="preserve"> </w:t>
      </w:r>
      <w:r>
        <w:t xml:space="preserve">and</w:t>
      </w:r>
      <w:r>
        <w:t xml:space="preserve"> </w:t>
      </w:r>
      <w:r>
        <w:t xml:space="preserve">Information</w:t>
      </w:r>
      <w:r>
        <w:t xml:space="preserve"> </w:t>
      </w:r>
      <w:r>
        <w:t xml:space="preserve">Security</w:t>
      </w:r>
    </w:p>
    <w:p>
      <w:pPr>
        <w:pStyle w:val="Subtitle"/>
      </w:pPr>
      <w:r>
        <w:t xml:space="preserve">SP</w:t>
      </w:r>
      <w:r>
        <w:t xml:space="preserve"> </w:t>
      </w:r>
      <w:r>
        <w:t xml:space="preserve">Architects</w:t>
      </w:r>
      <w:r>
        <w:t xml:space="preserve"> </w:t>
      </w:r>
      <w:r>
        <w:t xml:space="preserve">·</w:t>
      </w:r>
      <w:r>
        <w:t xml:space="preserve"> </w:t>
      </w:r>
      <w:r>
        <w:t xml:space="preserve">Policy</w:t>
      </w:r>
      <w:r>
        <w:t xml:space="preserve"> </w:t>
      </w:r>
      <w:r>
        <w:t xml:space="preserve">10</w:t>
      </w:r>
      <w:r>
        <w:t xml:space="preserve"> </w:t>
      </w:r>
      <w:r>
        <w:t xml:space="preserve">·</w:t>
      </w:r>
      <w:r>
        <w:t xml:space="preserve"> </w:t>
      </w:r>
      <w:r>
        <w:t xml:space="preserve">UN</w:t>
      </w:r>
      <w:r>
        <w:t xml:space="preserve"> </w:t>
      </w:r>
      <w:r>
        <w:t xml:space="preserve">Global</w:t>
      </w:r>
      <w:r>
        <w:t xml:space="preserve"> </w:t>
      </w:r>
      <w:r>
        <w:t xml:space="preserve">Compact</w:t>
      </w:r>
      <w:r>
        <w:t xml:space="preserve"> </w:t>
      </w:r>
      <w:r>
        <w:t xml:space="preserve">·</w:t>
      </w:r>
      <w:r>
        <w:t xml:space="preserve"> </w:t>
      </w:r>
      <w:r>
        <w:t xml:space="preserve">Draft</w:t>
      </w:r>
      <w:r>
        <w:t xml:space="preserve"> </w:t>
      </w:r>
      <w:r>
        <w:t xml:space="preserve">1.0</w:t>
      </w:r>
      <w:r>
        <w:t xml:space="preserve"> </w:t>
      </w:r>
      <w:r>
        <w:t xml:space="preserve">·</w:t>
      </w:r>
      <w:r>
        <w:t xml:space="preserve"> </w:t>
      </w:r>
      <w:r>
        <w:t xml:space="preserve">October</w:t>
      </w:r>
      <w:r>
        <w:t xml:space="preserve"> </w:t>
      </w:r>
      <w:r>
        <w:t xml:space="preserve">2026</w:t>
      </w:r>
    </w:p>
    <w:bookmarkStart w:id="20" w:name="purpose-and-scope"/>
    <w:p>
      <w:pPr>
        <w:pStyle w:val="Heading3"/>
      </w:pPr>
      <w:r>
        <w:t xml:space="preserve">1. Purpose and scope</w:t>
      </w:r>
    </w:p>
    <w:p>
      <w:pPr>
        <w:pStyle w:val="FirstParagraph"/>
      </w:pPr>
      <w:r>
        <w:t xml:space="preserve">SP Architects protects the personal data of its employees, candidates, clients and business partners, and the confidential information belonging to client projects. This policy complements Turkish Personal Data Protection Law No. 6698 (KVKK) and the data protection laws of the other countries where we work. It applies to all employees and anyone processing data on behalf of the firm.</w:t>
      </w:r>
    </w:p>
    <w:bookmarkEnd w:id="20"/>
    <w:bookmarkStart w:id="21" w:name="principles"/>
    <w:p>
      <w:pPr>
        <w:pStyle w:val="Heading3"/>
      </w:pPr>
      <w:r>
        <w:t xml:space="preserve">2. Principles</w:t>
      </w:r>
    </w:p>
    <w:p>
      <w:pPr>
        <w:numPr>
          <w:ilvl w:val="0"/>
          <w:numId w:val="1001"/>
        </w:numPr>
      </w:pPr>
      <w:r>
        <w:rPr>
          <w:bCs/>
          <w:b/>
        </w:rPr>
        <w:t xml:space="preserve">Lawfulness:</w:t>
      </w:r>
      <w:r>
        <w:t xml:space="preserve"> </w:t>
      </w:r>
      <w:r>
        <w:t xml:space="preserve">We process personal data only for specific, explicit and legitimate purposes, only as much as needed and only for as long as needed.</w:t>
      </w:r>
    </w:p>
    <w:p>
      <w:pPr>
        <w:numPr>
          <w:ilvl w:val="0"/>
          <w:numId w:val="1001"/>
        </w:numPr>
      </w:pPr>
      <w:r>
        <w:rPr>
          <w:bCs/>
          <w:b/>
        </w:rPr>
        <w:t xml:space="preserve">Transparency:</w:t>
      </w:r>
      <w:r>
        <w:t xml:space="preserve"> </w:t>
      </w:r>
      <w:r>
        <w:t xml:space="preserve">We inform data subjects and provide [request e-mail] so they can exercise their rights.</w:t>
      </w:r>
    </w:p>
    <w:p>
      <w:pPr>
        <w:numPr>
          <w:ilvl w:val="0"/>
          <w:numId w:val="1001"/>
        </w:numPr>
      </w:pPr>
      <w:r>
        <w:rPr>
          <w:bCs/>
          <w:b/>
        </w:rPr>
        <w:t xml:space="preserve">Confidentiality:</w:t>
      </w:r>
      <w:r>
        <w:t xml:space="preserve"> </w:t>
      </w:r>
      <w:r>
        <w:t xml:space="preserve">Drawings, contracts and commercial information belonging to client projects are shared only with those working on the project.</w:t>
      </w:r>
    </w:p>
    <w:p>
      <w:pPr>
        <w:numPr>
          <w:ilvl w:val="0"/>
          <w:numId w:val="1001"/>
        </w:numPr>
      </w:pPr>
      <w:r>
        <w:rPr>
          <w:bCs/>
          <w:b/>
        </w:rPr>
        <w:t xml:space="preserve">Intellectual property:</w:t>
      </w:r>
      <w:r>
        <w:t xml:space="preserve"> </w:t>
      </w:r>
      <w:r>
        <w:t xml:space="preserve">We protect our own design rights and do not use others' designs, software or images without permission.</w:t>
      </w:r>
    </w:p>
    <w:p>
      <w:pPr>
        <w:numPr>
          <w:ilvl w:val="0"/>
          <w:numId w:val="1001"/>
        </w:numPr>
      </w:pPr>
      <w:r>
        <w:rPr>
          <w:bCs/>
          <w:b/>
        </w:rPr>
        <w:t xml:space="preserve">Security:</w:t>
      </w:r>
      <w:r>
        <w:t xml:space="preserve"> </w:t>
      </w:r>
      <w:r>
        <w:t xml:space="preserve">We restrict access to information by role, use strong passwords and two-factor authentication, and back up data regularly.</w:t>
      </w:r>
    </w:p>
    <w:p>
      <w:pPr>
        <w:numPr>
          <w:ilvl w:val="0"/>
          <w:numId w:val="1001"/>
        </w:numPr>
      </w:pPr>
      <w:r>
        <w:rPr>
          <w:bCs/>
          <w:b/>
        </w:rPr>
        <w:t xml:space="preserve">AI and new technologies:</w:t>
      </w:r>
      <w:r>
        <w:t xml:space="preserve"> </w:t>
      </w:r>
      <w:r>
        <w:t xml:space="preserve">We process client data and confidential project information only with approved tools, and obtain manager approval before entering confidential information into AI tools.</w:t>
      </w:r>
    </w:p>
    <w:bookmarkEnd w:id="21"/>
    <w:bookmarkStart w:id="22" w:name="in-practice"/>
    <w:p>
      <w:pPr>
        <w:pStyle w:val="Heading3"/>
      </w:pPr>
      <w:r>
        <w:t xml:space="preserve">3. In practice</w:t>
      </w:r>
    </w:p>
    <w:p>
      <w:pPr>
        <w:numPr>
          <w:ilvl w:val="0"/>
          <w:numId w:val="1002"/>
        </w:numPr>
        <w:pStyle w:val="Compact"/>
      </w:pPr>
      <w:r>
        <w:t xml:space="preserve">The personal data inventory and retention periods are kept up to date [including VERBİS registration where required].</w:t>
      </w:r>
    </w:p>
    <w:p>
      <w:pPr>
        <w:numPr>
          <w:ilvl w:val="0"/>
          <w:numId w:val="1002"/>
        </w:numPr>
        <w:pStyle w:val="Compact"/>
      </w:pPr>
      <w:r>
        <w:t xml:space="preserve">Employees receive data protection and cyber security training at onboarding and once a year.</w:t>
      </w:r>
    </w:p>
    <w:p>
      <w:pPr>
        <w:numPr>
          <w:ilvl w:val="0"/>
          <w:numId w:val="1002"/>
        </w:numPr>
        <w:pStyle w:val="Compact"/>
      </w:pPr>
      <w:r>
        <w:t xml:space="preserve">Data breaches are reported immediately to [IT lead] and the Managing Partners; legal notification deadlines are met.</w:t>
      </w:r>
    </w:p>
    <w:p>
      <w:pPr>
        <w:numPr>
          <w:ilvl w:val="0"/>
          <w:numId w:val="1002"/>
        </w:numPr>
        <w:pStyle w:val="Compact"/>
      </w:pPr>
      <w:r>
        <w:t xml:space="preserve">Leavers' access is closed on their last day.</w:t>
      </w:r>
    </w:p>
    <w:bookmarkEnd w:id="22"/>
    <w:bookmarkStart w:id="23" w:name="responsibility-and-review"/>
    <w:p>
      <w:pPr>
        <w:pStyle w:val="Heading3"/>
      </w:pPr>
      <w:r>
        <w:t xml:space="preserve">4. Responsibility and review</w:t>
      </w:r>
    </w:p>
    <w:p>
      <w:pPr>
        <w:pStyle w:val="FirstParagraph"/>
      </w:pPr>
      <w:r>
        <w:t xml:space="preserve">The Managing Partners are responsible for this policy; [IT lead] and HR implement it. The policy is reviewed every year and whenever the law changes.</w:t>
      </w:r>
    </w:p>
    <w:p>
      <w:pPr>
        <w:pStyle w:val="BodyText"/>
      </w:pPr>
      <w:r>
        <w:rPr>
          <w:bCs/>
          <w:b/>
        </w:rPr>
        <w:t xml:space="preserve">Version:</w:t>
      </w:r>
      <w:r>
        <w:t xml:space="preserve"> </w:t>
      </w:r>
      <w:r>
        <w:t xml:space="preserve">1.0 ·</w:t>
      </w:r>
      <w:r>
        <w:t xml:space="preserve"> </w:t>
      </w:r>
      <w:r>
        <w:rPr>
          <w:bCs/>
          <w:b/>
        </w:rPr>
        <w:t xml:space="preserve">Date:</w:t>
      </w:r>
      <w:r>
        <w:t xml:space="preserve"> </w:t>
      </w:r>
      <w:r>
        <w:t xml:space="preserve">[October 2026]</w:t>
      </w:r>
    </w:p>
    <w:p>
      <w:r>
        <w:pict>
          <v:rect style="width:0;height:1.5pt" o:hralign="center" o:hrstd="t" o:hr="t"/>
        </w:pict>
      </w:r>
    </w:p>
    <w:p>
      <w:pPr>
        <w:pStyle w:val="FirstParagraph"/>
      </w:pPr>
      <w:r>
        <w:t xml:space="preserve">Sabri Paşayiğit</w:t>
      </w:r>
      <w:r>
        <w:br/>
      </w:r>
      <w:r>
        <w:t xml:space="preserve">Founding Partner / General Manager</w:t>
      </w:r>
      <w:r>
        <w:br/>
      </w:r>
      <w:r>
        <w:t xml:space="preserve">SP Architects</w:t>
      </w:r>
    </w:p>
    <w:bookmarkEnd w:id="2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hAnsi="Calibri"/>
      <w:sz w:val="21"/>
    </w:rPr>
  </w:style>
  <w:style w:styleId="BodyText" w:type="paragraph">
    <w:name w:val="Body Text"/>
    <w:basedOn w:val="Normal"/>
    <w:link w:val="BodyTextChar"/>
    <w:pPr>
      <w:spacing w:after="180" w:before="180"/>
    </w:pPr>
    <w:qFormat/>
    <w:rPr>
      <w:rFonts w:ascii="Calibri" w:hAnsi="Calibri"/>
      <w:sz w:val="21"/>
    </w:rPr>
  </w:style>
  <w:style w:customStyle="1" w:styleId="FirstParagraph" w:type="paragraph">
    <w:name w:val="First Paragraph"/>
    <w:basedOn w:val="BodyText"/>
    <w:next w:val="BodyText"/>
    <w:qFormat/>
    <w:rPr>
      <w:rFonts w:ascii="Calibri" w:hAnsi="Calibri"/>
      <w:sz w:val="21"/>
    </w:rPr>
  </w:style>
  <w:style w:customStyle="1" w:styleId="Compact" w:type="paragraph">
    <w:name w:val="Compact"/>
    <w:basedOn w:val="BodyText"/>
    <w:qFormat/>
    <w:pPr>
      <w:spacing w:after="36" w:before="36"/>
    </w:pPr>
    <w:rPr>
      <w:rFonts w:ascii="Calibri" w:hAnsi="Calibri"/>
      <w:sz w:val="21"/>
    </w:rPr>
  </w:style>
  <w:style w:styleId="Title" w:type="paragraph">
    <w:name w:val="Title"/>
    <w:basedOn w:val="Normal"/>
    <w:next w:val="BodyText"/>
    <w:qFormat/>
    <w:pPr>
      <w:keepNext/>
      <w:keepLines/>
      <w:spacing w:after="240" w:before="480"/>
      <w:jc w:val="center"/>
    </w:pPr>
    <w:rPr>
      <w:rFonts w:ascii="Calibri" w:asciiTheme="majorHAnsi" w:cstheme="majorBidi" w:eastAsiaTheme="majorEastAsia" w:hAnsi="Calibri" w:hAnsiTheme="majorHAnsi"/>
      <w:b/>
      <w:bCs/>
      <w:color w:val="0F2A52"/>
      <w:sz w:val="40"/>
      <w:szCs w:val="36"/>
    </w:rPr>
  </w:style>
  <w:style w:styleId="Subtitle" w:type="paragraph">
    <w:name w:val="Subtitle"/>
    <w:basedOn w:val="Title"/>
    <w:next w:val="BodyText"/>
    <w:qFormat/>
    <w:pPr>
      <w:keepNext/>
      <w:keepLines/>
      <w:spacing w:after="240" w:before="240"/>
      <w:jc w:val="center"/>
    </w:pPr>
    <w:rPr>
      <w:rFonts w:ascii="Calibri" w:hAnsi="Calibri"/>
      <w:b w:val="0"/>
      <w:color w:val="0F2A52"/>
      <w:sz w:val="24"/>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Protection and Information Security</dc:title>
  <dc:creator/>
  <cp:keywords/>
  <dcterms:created xsi:type="dcterms:W3CDTF">2026-10-15T15:25:55Z</dcterms:created>
  <dcterms:modified xsi:type="dcterms:W3CDTF">2026-10-15T15:25:55Z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SP Architects · Policy 10 · UN Global Compact · Draft 1.0 · October 2026</vt:lpwstr>
  </property>
</Properties>
</file>