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İş</w:t>
      </w:r>
      <w:r>
        <w:t xml:space="preserve"> </w:t>
      </w:r>
      <w:r>
        <w:t xml:space="preserve">Sağlığı</w:t>
      </w:r>
      <w:r>
        <w:t xml:space="preserve"> </w:t>
      </w:r>
      <w:r>
        <w:t xml:space="preserve">ve</w:t>
      </w:r>
      <w:r>
        <w:t xml:space="preserve"> </w:t>
      </w:r>
      <w:r>
        <w:t xml:space="preserve">Güvenliği</w:t>
      </w:r>
      <w:r>
        <w:t xml:space="preserve"> </w:t>
      </w:r>
      <w:r>
        <w:t xml:space="preserve">Yönetim</w:t>
      </w:r>
      <w:r>
        <w:t xml:space="preserve"> </w:t>
      </w:r>
      <w:r>
        <w:t xml:space="preserve">Sistemi</w:t>
      </w:r>
      <w:r>
        <w:t xml:space="preserve"> </w:t>
      </w:r>
      <w:r>
        <w:t xml:space="preserve">Prosedürü</w:t>
      </w:r>
    </w:p>
    <w:p>
      <w:pPr>
        <w:pStyle w:val="Subtitle"/>
      </w:pPr>
      <w:r>
        <w:t xml:space="preserve">SP</w:t>
      </w:r>
      <w:r>
        <w:t xml:space="preserve"> </w:t>
      </w:r>
      <w:r>
        <w:t xml:space="preserve">Architects</w:t>
      </w:r>
      <w:r>
        <w:t xml:space="preserve"> </w:t>
      </w:r>
      <w:r>
        <w:t xml:space="preserve">·</w:t>
      </w:r>
      <w:r>
        <w:t xml:space="preserve"> </w:t>
      </w:r>
      <w:r>
        <w:t xml:space="preserve">REM</w:t>
      </w:r>
      <w:r>
        <w:t xml:space="preserve"> </w:t>
      </w:r>
      <w:r>
        <w:t xml:space="preserve">Mimarlık</w:t>
      </w:r>
      <w:r>
        <w:t xml:space="preserve"> </w:t>
      </w:r>
      <w:r>
        <w:t xml:space="preserve">Dekorasyon</w:t>
      </w:r>
      <w:r>
        <w:t xml:space="preserve"> </w:t>
      </w:r>
      <w:r>
        <w:t xml:space="preserve">Restorasyon</w:t>
      </w:r>
      <w:r>
        <w:t xml:space="preserve"> </w:t>
      </w:r>
      <w:r>
        <w:t xml:space="preserve">Proje</w:t>
      </w:r>
      <w:r>
        <w:t xml:space="preserve"> </w:t>
      </w:r>
      <w:r>
        <w:t xml:space="preserve">ve</w:t>
      </w:r>
      <w:r>
        <w:t xml:space="preserve"> </w:t>
      </w:r>
      <w:r>
        <w:t xml:space="preserve">Taahhüt</w:t>
      </w:r>
      <w:r>
        <w:t xml:space="preserve"> </w:t>
      </w:r>
      <w:r>
        <w:t xml:space="preserve">Hizmetleri</w:t>
      </w:r>
      <w:r>
        <w:t xml:space="preserve"> </w:t>
      </w:r>
      <w:r>
        <w:t xml:space="preserve">Ltd.</w:t>
      </w:r>
      <w:r>
        <w:t xml:space="preserve"> </w:t>
      </w:r>
      <w:r>
        <w:t xml:space="preserve">Şti.</w:t>
      </w:r>
      <w:r>
        <w:t xml:space="preserve"> </w:t>
      </w:r>
      <w:r>
        <w:t xml:space="preserve">·</w:t>
      </w:r>
      <w:r>
        <w:t xml:space="preserve"> </w:t>
      </w:r>
      <w:r>
        <w:t xml:space="preserve">Taslak</w:t>
      </w:r>
      <w:r>
        <w:t xml:space="preserve"> </w:t>
      </w:r>
      <w:r>
        <w:t xml:space="preserve">1.0</w:t>
      </w:r>
      <w:r>
        <w:t xml:space="preserve"> </w:t>
      </w:r>
      <w:r>
        <w:t xml:space="preserve">·</w:t>
      </w:r>
      <w:r>
        <w:t xml:space="preserve"> </w:t>
      </w:r>
      <w:r>
        <w:t xml:space="preserve">Ekim</w:t>
      </w:r>
      <w:r>
        <w:t xml:space="preserve"> </w:t>
      </w:r>
      <w:r>
        <w:t xml:space="preserve">2026</w:t>
      </w:r>
    </w:p>
    <w:bookmarkStart w:id="20" w:name="amaç"/>
    <w:p>
      <w:pPr>
        <w:pStyle w:val="Heading3"/>
      </w:pPr>
      <w:r>
        <w:t xml:space="preserve">1. Amaç</w:t>
      </w:r>
    </w:p>
    <w:p>
      <w:pPr>
        <w:pStyle w:val="FirstParagraph"/>
      </w:pPr>
      <w:r>
        <w:t xml:space="preserve">Bu prosedür, REM Mimarlık Dekorasyon Restorasyon Proje ve Taahhüt Hizmetleri Ltd. Şti. ("SP Architects") İş Sağlığı ve Güvenliği (İSG) Yönetim Sistemi'nin nasıl kurulacağını, uygulanacağını, izleneceğini ve sürekli iyileştirileceğini tanımlar. Güvenli ve sağlıklı bir çalışma ortamı, 2022'den bu yana Uluslararası Çalışma Örgütü'nün (ILO) temel ilke ve haklarından biridir (ILO 155 ve 187 Sayılı Sözleşmeler). SP Architects bu prosedürü, Birleşmiş Milletler Küresel İlkeler Sözleşmesi'nin (UNGC) insan hakları ve çalışma standartlarına ilişkin İlke 1–6'ya verdiği taahhüdün ve Politika 7 — İş Sağlığı, Güvenliği ve Esenlik'in uygulama aracı olarak benimser. Sistem, 6331 sayılı İş Sağlığı ve Güvenliği Kanunu ve ISO 45001:2018 esas alınarak Planla-Uygula-Kontrol Et-Önlem Al (PUKÖ) döngüsüyle işletilir; yasal asgarinin ötesine geçmeyi hedefler.</w:t>
      </w:r>
    </w:p>
    <w:bookmarkEnd w:id="20"/>
    <w:bookmarkStart w:id="21" w:name="kapsam"/>
    <w:p>
      <w:pPr>
        <w:pStyle w:val="Heading3"/>
      </w:pPr>
      <w:r>
        <w:t xml:space="preserve">2. Kapsam</w:t>
      </w:r>
    </w:p>
    <w:p>
      <w:pPr>
        <w:pStyle w:val="FirstParagraph"/>
      </w:pPr>
      <w:r>
        <w:t xml:space="preserve">Bu prosedür SP Architects'in tüm ofislerini, proje sahalarını, SP Architects'in yönettiği taahhüt ve şantiye işlerini ve saha ziyaretlerini kapsar. Kalıcı, geçici ve stajyer tüm çalışanlar ile SP Architects'in kontrolündeki alanlarda çalışan yükleniciler, alt yükleniciler ve ziyaretçiler kapsamdadır.</w:t>
      </w:r>
    </w:p>
    <w:bookmarkEnd w:id="21"/>
    <w:bookmarkStart w:id="22" w:name="tanımlar-ve-kısaltmalar"/>
    <w:p>
      <w:pPr>
        <w:pStyle w:val="Heading3"/>
      </w:pPr>
      <w:r>
        <w:t xml:space="preserve">3. Tanımlar ve Kısaltmalar</w:t>
      </w:r>
    </w:p>
    <w:p>
      <w:pPr>
        <w:numPr>
          <w:ilvl w:val="0"/>
          <w:numId w:val="1001"/>
        </w:numPr>
        <w:pStyle w:val="Compact"/>
      </w:pPr>
      <w:r>
        <w:rPr>
          <w:bCs/>
          <w:b/>
        </w:rPr>
        <w:t xml:space="preserve">İSG:</w:t>
      </w:r>
      <w:r>
        <w:t xml:space="preserve"> </w:t>
      </w:r>
      <w:r>
        <w:t xml:space="preserve">İş sağlığı ve güvenliği;</w:t>
      </w:r>
      <w:r>
        <w:t xml:space="preserve"> </w:t>
      </w:r>
      <w:r>
        <w:rPr>
          <w:bCs/>
          <w:b/>
        </w:rPr>
        <w:t xml:space="preserve">İSG Yönetim Sistemi:</w:t>
      </w:r>
      <w:r>
        <w:t xml:space="preserve"> </w:t>
      </w:r>
      <w:r>
        <w:t xml:space="preserve">bu prosedürle tanımlanan politika, süreç ve kayıtların bütünü.</w:t>
      </w:r>
    </w:p>
    <w:p>
      <w:pPr>
        <w:numPr>
          <w:ilvl w:val="0"/>
          <w:numId w:val="1001"/>
        </w:numPr>
        <w:pStyle w:val="Compact"/>
      </w:pPr>
      <w:r>
        <w:rPr>
          <w:bCs/>
          <w:b/>
        </w:rPr>
        <w:t xml:space="preserve">Üst Yönetim:</w:t>
      </w:r>
      <w:r>
        <w:t xml:space="preserve"> </w:t>
      </w:r>
      <w:r>
        <w:t xml:space="preserve">Kurucu Ortak / Genel Müdür, Genel Müdür Yardımcısı, Yönetim Temsilcisi ve Direktörler.</w:t>
      </w:r>
    </w:p>
    <w:p>
      <w:pPr>
        <w:numPr>
          <w:ilvl w:val="0"/>
          <w:numId w:val="1001"/>
        </w:numPr>
        <w:pStyle w:val="Compact"/>
      </w:pPr>
      <w:r>
        <w:rPr>
          <w:bCs/>
          <w:b/>
        </w:rPr>
        <w:t xml:space="preserve">Yönetim Temsilcisi (YT) / İSG Koordinatörü:</w:t>
      </w:r>
      <w:r>
        <w:t xml:space="preserve"> </w:t>
      </w:r>
      <w:r>
        <w:t xml:space="preserve">İSG Yönetim Sistemi'nin koordinasyonu için üst yönetimce atanan kişi.</w:t>
      </w:r>
    </w:p>
    <w:p>
      <w:pPr>
        <w:numPr>
          <w:ilvl w:val="0"/>
          <w:numId w:val="1001"/>
        </w:numPr>
        <w:pStyle w:val="Compact"/>
      </w:pPr>
      <w:r>
        <w:rPr>
          <w:bCs/>
          <w:b/>
        </w:rPr>
        <w:t xml:space="preserve">Çalışan temsilcisi:</w:t>
      </w:r>
      <w:r>
        <w:t xml:space="preserve"> </w:t>
      </w:r>
      <w:r>
        <w:t xml:space="preserve">İSG konularında çalışanları temsil eden, çalışanlar arasından seçilen veya atanan kişi.</w:t>
      </w:r>
    </w:p>
    <w:p>
      <w:pPr>
        <w:numPr>
          <w:ilvl w:val="0"/>
          <w:numId w:val="1001"/>
        </w:numPr>
        <w:pStyle w:val="Compact"/>
      </w:pPr>
      <w:r>
        <w:rPr>
          <w:bCs/>
          <w:b/>
        </w:rPr>
        <w:t xml:space="preserve">Tehlike:</w:t>
      </w:r>
      <w:r>
        <w:t xml:space="preserve"> </w:t>
      </w:r>
      <w:r>
        <w:t xml:space="preserve">Çalışma ortamında ölüm, hastalık, yaralanma veya hasara yol açma potansiyeli olan durum ya da kaynak.</w:t>
      </w:r>
    </w:p>
    <w:p>
      <w:pPr>
        <w:numPr>
          <w:ilvl w:val="0"/>
          <w:numId w:val="1001"/>
        </w:numPr>
        <w:pStyle w:val="Compact"/>
      </w:pPr>
      <w:r>
        <w:rPr>
          <w:bCs/>
          <w:b/>
        </w:rPr>
        <w:t xml:space="preserve">Tehdit:</w:t>
      </w:r>
      <w:r>
        <w:t xml:space="preserve"> </w:t>
      </w:r>
      <w:r>
        <w:t xml:space="preserve">Bir tehlikeyi kazaya dönüştüren unsur.</w:t>
      </w:r>
    </w:p>
    <w:p>
      <w:pPr>
        <w:numPr>
          <w:ilvl w:val="0"/>
          <w:numId w:val="1001"/>
        </w:numPr>
        <w:pStyle w:val="Compact"/>
      </w:pPr>
      <w:r>
        <w:rPr>
          <w:bCs/>
          <w:b/>
        </w:rPr>
        <w:t xml:space="preserve">Kaza:</w:t>
      </w:r>
      <w:r>
        <w:t xml:space="preserve"> </w:t>
      </w:r>
      <w:r>
        <w:t xml:space="preserve">Ölüme, hastalığa, yaralanmaya, hasara veya başka kayba yol açan istenmeyen olay; kontrolün kaybedildiği an.</w:t>
      </w:r>
    </w:p>
    <w:p>
      <w:pPr>
        <w:numPr>
          <w:ilvl w:val="0"/>
          <w:numId w:val="1001"/>
        </w:numPr>
        <w:pStyle w:val="Compact"/>
      </w:pPr>
      <w:r>
        <w:rPr>
          <w:bCs/>
          <w:b/>
        </w:rPr>
        <w:t xml:space="preserve">İş kazası:</w:t>
      </w:r>
      <w:r>
        <w:t xml:space="preserve"> </w:t>
      </w:r>
      <w:r>
        <w:t xml:space="preserve">Aşağıdaki hallerden birinde meydana gelen ve çalışanı hemen veya sonradan bedensel ya da ruhsal olarak etkileyen olay: (a) çalışanın işyerinde bulunduğu sırada; (b) işveren tarafından yürütülen iş nedeniyle; (c) işverence görevle başka bir yere gönderilen çalışanın asıl işini yapmaksızın geçirdiği zamanlarda; (d) emziren çalışanın çocuğuna süt vermek için ayrılan zamanlarda; (e) çalışanların işverence sağlanan bir taşıtla işin yapıldığı yere toplu olarak götürülüp getirilmeleri sırasında.</w:t>
      </w:r>
    </w:p>
    <w:p>
      <w:pPr>
        <w:numPr>
          <w:ilvl w:val="0"/>
          <w:numId w:val="1001"/>
        </w:numPr>
        <w:pStyle w:val="Compact"/>
      </w:pPr>
      <w:r>
        <w:rPr>
          <w:bCs/>
          <w:b/>
        </w:rPr>
        <w:t xml:space="preserve">Meslek hastalığı:</w:t>
      </w:r>
      <w:r>
        <w:t xml:space="preserve"> </w:t>
      </w:r>
      <w:r>
        <w:t xml:space="preserve">Çalışanın yaptığı işin niteliğine göre tekrarlanan bir sebeple veya işin yürütüm koşulları nedeniyle uğradığı geçici ya da kalıcı hastalık, engellilik veya ruhsal rahatsızlık.</w:t>
      </w:r>
    </w:p>
    <w:p>
      <w:pPr>
        <w:numPr>
          <w:ilvl w:val="0"/>
          <w:numId w:val="1001"/>
        </w:numPr>
        <w:pStyle w:val="Compact"/>
      </w:pPr>
      <w:r>
        <w:rPr>
          <w:bCs/>
          <w:b/>
        </w:rPr>
        <w:t xml:space="preserve">Ramak kala:</w:t>
      </w:r>
      <w:r>
        <w:t xml:space="preserve"> </w:t>
      </w:r>
      <w:r>
        <w:t xml:space="preserve">Yaralanma, sağlık bozulması, hasar veya kayıpla sonuçlanmamış, ancak sonuçlanabilecek olay.</w:t>
      </w:r>
    </w:p>
    <w:p>
      <w:pPr>
        <w:numPr>
          <w:ilvl w:val="0"/>
          <w:numId w:val="1001"/>
        </w:numPr>
        <w:pStyle w:val="Compact"/>
      </w:pPr>
      <w:r>
        <w:rPr>
          <w:bCs/>
          <w:b/>
        </w:rPr>
        <w:t xml:space="preserve">Risk:</w:t>
      </w:r>
      <w:r>
        <w:t xml:space="preserve"> </w:t>
      </w:r>
      <w:r>
        <w:t xml:space="preserve">Bir tehlikenin gerçekleşme olasılığı ile yol açacağı zararın şiddetinin bileşkesi.</w:t>
      </w:r>
    </w:p>
    <w:p>
      <w:pPr>
        <w:numPr>
          <w:ilvl w:val="0"/>
          <w:numId w:val="1001"/>
        </w:numPr>
        <w:pStyle w:val="Compact"/>
      </w:pPr>
      <w:r>
        <w:rPr>
          <w:bCs/>
          <w:b/>
        </w:rPr>
        <w:t xml:space="preserve">Risk analizi ve değerlendirmesi:</w:t>
      </w:r>
      <w:r>
        <w:t xml:space="preserve"> </w:t>
      </w:r>
      <w:r>
        <w:t xml:space="preserve">Tehlikelerin belirlenmesi, risklerin en kötü gerçekçi senaryoya göre derecelendirilmesi ve gerekli önlemlerin önceliklendirilerek belirlenmesi çalışması.</w:t>
      </w:r>
    </w:p>
    <w:p>
      <w:pPr>
        <w:numPr>
          <w:ilvl w:val="0"/>
          <w:numId w:val="1001"/>
        </w:numPr>
        <w:pStyle w:val="Compact"/>
      </w:pPr>
      <w:r>
        <w:rPr>
          <w:bCs/>
          <w:b/>
        </w:rPr>
        <w:t xml:space="preserve">Risk olasılığı (RO):</w:t>
      </w:r>
      <w:r>
        <w:t xml:space="preserve"> </w:t>
      </w:r>
      <w:r>
        <w:t xml:space="preserve">Tehlikenin gerçekleşme olasılığı (Tablo 1).</w:t>
      </w:r>
    </w:p>
    <w:p>
      <w:pPr>
        <w:numPr>
          <w:ilvl w:val="0"/>
          <w:numId w:val="1001"/>
        </w:numPr>
        <w:pStyle w:val="Compact"/>
      </w:pPr>
      <w:r>
        <w:rPr>
          <w:bCs/>
          <w:b/>
        </w:rPr>
        <w:t xml:space="preserve">Risk şiddeti (RŞ):</w:t>
      </w:r>
      <w:r>
        <w:t xml:space="preserve"> </w:t>
      </w:r>
      <w:r>
        <w:t xml:space="preserve">Gerçekleşmesi halinde etkilenen kişi(ler) üzerindeki zararın büyüklüğü (Tablo 2).</w:t>
      </w:r>
    </w:p>
    <w:p>
      <w:pPr>
        <w:numPr>
          <w:ilvl w:val="0"/>
          <w:numId w:val="1001"/>
        </w:numPr>
        <w:pStyle w:val="Compact"/>
      </w:pPr>
      <w:r>
        <w:rPr>
          <w:bCs/>
          <w:b/>
        </w:rPr>
        <w:t xml:space="preserve">Risk derecesi (RD):</w:t>
      </w:r>
      <w:r>
        <w:t xml:space="preserve"> </w:t>
      </w:r>
      <w:r>
        <w:t xml:space="preserve">RD = RO x RŞ.</w:t>
      </w:r>
    </w:p>
    <w:p>
      <w:pPr>
        <w:numPr>
          <w:ilvl w:val="0"/>
          <w:numId w:val="1001"/>
        </w:numPr>
        <w:pStyle w:val="Compact"/>
      </w:pPr>
      <w:r>
        <w:rPr>
          <w:bCs/>
          <w:b/>
        </w:rPr>
        <w:t xml:space="preserve">Yetkin çalışan:</w:t>
      </w:r>
      <w:r>
        <w:t xml:space="preserve"> </w:t>
      </w:r>
      <w:r>
        <w:t xml:space="preserve">Temel İSG, kazalardan korunma, kişisel koruyucu donanım, makine ve çevresel koruyucu önlemler konusunda eğitim almış, bilgi ve güvenli davranışı içselleştirmiş ve bunu çevresiyle paylaşan çalışan.</w:t>
      </w:r>
    </w:p>
    <w:p>
      <w:pPr>
        <w:numPr>
          <w:ilvl w:val="0"/>
          <w:numId w:val="1001"/>
        </w:numPr>
        <w:pStyle w:val="Compact"/>
      </w:pPr>
      <w:r>
        <w:rPr>
          <w:bCs/>
          <w:b/>
        </w:rPr>
        <w:t xml:space="preserve">DÖF:</w:t>
      </w:r>
      <w:r>
        <w:t xml:space="preserve"> </w:t>
      </w:r>
      <w:r>
        <w:t xml:space="preserve">Düzeltici ve önleyici faaliyet.</w:t>
      </w:r>
      <w:r>
        <w:t xml:space="preserve"> </w:t>
      </w:r>
      <w:r>
        <w:rPr>
          <w:bCs/>
          <w:b/>
        </w:rPr>
        <w:t xml:space="preserve">YGG:</w:t>
      </w:r>
      <w:r>
        <w:t xml:space="preserve"> </w:t>
      </w:r>
      <w:r>
        <w:t xml:space="preserve">Yönetimin gözden geçirmesi.</w:t>
      </w:r>
      <w:r>
        <w:t xml:space="preserve"> </w:t>
      </w:r>
      <w:r>
        <w:rPr>
          <w:bCs/>
          <w:b/>
        </w:rPr>
        <w:t xml:space="preserve">KKD:</w:t>
      </w:r>
      <w:r>
        <w:t xml:space="preserve"> </w:t>
      </w:r>
      <w:r>
        <w:t xml:space="preserve">Kişisel koruyucu donanım.</w:t>
      </w:r>
    </w:p>
    <w:bookmarkEnd w:id="22"/>
    <w:bookmarkStart w:id="23" w:name="kuruluşun-bağlamı"/>
    <w:p>
      <w:pPr>
        <w:pStyle w:val="Heading3"/>
      </w:pPr>
      <w:r>
        <w:t xml:space="preserve">4. Kuruluşun Bağlamı</w:t>
      </w:r>
    </w:p>
    <w:p>
      <w:pPr>
        <w:pStyle w:val="FirstParagraph"/>
      </w:pPr>
      <w:r>
        <w:t xml:space="preserve">SP Architects bir mimari tasarım ofisidir ve taahhüt kapsamında şantiye işleri de yürütür. İSG Yönetim Sistemi'nin kapsamı belirlenirken şu hususlar dikkate alınır:</w:t>
      </w:r>
    </w:p>
    <w:p>
      <w:pPr>
        <w:numPr>
          <w:ilvl w:val="0"/>
          <w:numId w:val="1002"/>
        </w:numPr>
        <w:pStyle w:val="Compact"/>
      </w:pPr>
      <w:r>
        <w:t xml:space="preserve">Ofis çalışmasına özgü riskler: ekranlı araçlarla çalışma, ergonomi, uzun çalışma saatleri, iş yükü ve diğer psikososyal riskler, yangın ve deprem.</w:t>
      </w:r>
    </w:p>
    <w:p>
      <w:pPr>
        <w:numPr>
          <w:ilvl w:val="0"/>
          <w:numId w:val="1002"/>
        </w:numPr>
        <w:pStyle w:val="Compact"/>
      </w:pPr>
      <w:r>
        <w:t xml:space="preserve">Saha ve şantiye riskleri: yüksekte çalışma, düşen cisimler, iş makineleri, elektrik, kazı, yıkım ve restorasyon işleri, sürüş ve seyahat.</w:t>
      </w:r>
    </w:p>
    <w:p>
      <w:pPr>
        <w:numPr>
          <w:ilvl w:val="0"/>
          <w:numId w:val="1002"/>
        </w:numPr>
        <w:pStyle w:val="Compact"/>
      </w:pPr>
      <w:r>
        <w:t xml:space="preserve">İlgili taraflar ve beklentileri: çalışanlar ve çalışan temsilcisi, yükleniciler ve alt yükleniciler, işverenler (müşteriler), ziyaretçiler, kamu otoriteleri, SGK, UNGC ve RIBA gibi mesleki çerçeveler.</w:t>
      </w:r>
    </w:p>
    <w:p>
      <w:pPr>
        <w:numPr>
          <w:ilvl w:val="0"/>
          <w:numId w:val="1002"/>
        </w:numPr>
        <w:pStyle w:val="Compact"/>
      </w:pPr>
      <w:r>
        <w:t xml:space="preserve">Uygulanabilir yasal ve diğer şartlar (Madde 6.3).</w:t>
      </w:r>
    </w:p>
    <w:p>
      <w:pPr>
        <w:pStyle w:val="FirstParagraph"/>
      </w:pPr>
      <w:r>
        <w:t xml:space="preserve">Sistemin kapsamı, unsurları ve aralarındaki etkileşim bu prosedürün 4–10. maddeleriyle tanımlanır ve Politika 7 ile birlikte tüm çalışanlara ve ilgili taraflara erişilebilir tutulur.</w:t>
      </w:r>
    </w:p>
    <w:bookmarkEnd w:id="23"/>
    <w:bookmarkStart w:id="29" w:name="liderlik-ve-çalışan-katılımı"/>
    <w:p>
      <w:pPr>
        <w:pStyle w:val="Heading3"/>
      </w:pPr>
      <w:r>
        <w:t xml:space="preserve">5. Liderlik ve Çalışan Katılımı</w:t>
      </w:r>
    </w:p>
    <w:bookmarkStart w:id="24" w:name="liderlik-ve-taahhüt"/>
    <w:p>
      <w:pPr>
        <w:pStyle w:val="Heading4"/>
      </w:pPr>
      <w:r>
        <w:t xml:space="preserve">5.1 Liderlik ve taahhüt</w:t>
      </w:r>
    </w:p>
    <w:p>
      <w:pPr>
        <w:pStyle w:val="FirstParagraph"/>
      </w:pPr>
      <w:r>
        <w:t xml:space="preserve">İSG Yönetim Sistemi'nin nihai sorumluluğu üst yönetimdedir. İşverenin 6331 sayılı Kanun'dan doğan sorumluluğu, çalışanların veya yüklenicilerin yükümlülükleriyle ortadan kalkmaz (6331 Md. 4) ve İSG önlemlerinin maliyeti, KKD dahil, çalışanlara yansıtılamaz. Üst yönetim; insan kaynağı, uzmanlık, organizasyon, teknoloji ve bütçe dahil gerekli kaynakları sağlar, İSG'yi yönetim düzeyinde stratejik bir konu olarak ele alır ve olay, tehlike ve risk bildiren çalışanları misillemeye karşı korur.</w:t>
      </w:r>
    </w:p>
    <w:bookmarkEnd w:id="24"/>
    <w:bookmarkStart w:id="25" w:name="isg-politikası"/>
    <w:p>
      <w:pPr>
        <w:pStyle w:val="Heading4"/>
      </w:pPr>
      <w:r>
        <w:t xml:space="preserve">5.2 İSG Politikası</w:t>
      </w:r>
    </w:p>
    <w:p>
      <w:pPr>
        <w:pStyle w:val="FirstParagraph"/>
      </w:pPr>
      <w:r>
        <w:t xml:space="preserve">İSG Politikası, Politika 7 — İş Sağlığı, Güvenliği ve Esenlik olarak üst yönetimce onaylanır ve:</w:t>
      </w:r>
    </w:p>
    <w:p>
      <w:pPr>
        <w:numPr>
          <w:ilvl w:val="0"/>
          <w:numId w:val="1003"/>
        </w:numPr>
        <w:pStyle w:val="Compact"/>
      </w:pPr>
      <w:r>
        <w:t xml:space="preserve">SP Architects'in risklerinin niteliğine ve büyüklüğüne uygundur;</w:t>
      </w:r>
    </w:p>
    <w:p>
      <w:pPr>
        <w:numPr>
          <w:ilvl w:val="0"/>
          <w:numId w:val="1003"/>
        </w:numPr>
        <w:pStyle w:val="Compact"/>
      </w:pPr>
      <w:r>
        <w:t xml:space="preserve">yaralanma ve sağlık bozulmalarının önlenmesi ve İSG performansının sürekli iyileştirilmesi taahhüdünü içerir;</w:t>
      </w:r>
    </w:p>
    <w:p>
      <w:pPr>
        <w:numPr>
          <w:ilvl w:val="0"/>
          <w:numId w:val="1003"/>
        </w:numPr>
        <w:pStyle w:val="Compact"/>
      </w:pPr>
      <w:r>
        <w:t xml:space="preserve">yürürlükteki mevzuata, ISO 45001:2018'e ve SP Architects'in üstlendiği diğer şartlara (UNGC dahil) uyum taahhüdü içerir;</w:t>
      </w:r>
    </w:p>
    <w:p>
      <w:pPr>
        <w:numPr>
          <w:ilvl w:val="0"/>
          <w:numId w:val="1003"/>
        </w:numPr>
        <w:pStyle w:val="Compact"/>
      </w:pPr>
      <w:r>
        <w:t xml:space="preserve">tehlikelerin ortadan kaldırılması ve risklerin azaltılması ile çalışanlara danışma ve katılım taahhüdü içerir;</w:t>
      </w:r>
    </w:p>
    <w:p>
      <w:pPr>
        <w:numPr>
          <w:ilvl w:val="0"/>
          <w:numId w:val="1003"/>
        </w:numPr>
        <w:pStyle w:val="Compact"/>
      </w:pPr>
      <w:r>
        <w:t xml:space="preserve">İSG hedefleri için çerçeve oluşturur;</w:t>
      </w:r>
    </w:p>
    <w:p>
      <w:pPr>
        <w:numPr>
          <w:ilvl w:val="0"/>
          <w:numId w:val="1003"/>
        </w:numPr>
        <w:pStyle w:val="Compact"/>
      </w:pPr>
      <w:r>
        <w:t xml:space="preserve">tüm çalışanlara duyurulur, web sitesinde yayımlanır ve her YGG'de gözden geçirilir.</w:t>
      </w:r>
    </w:p>
    <w:bookmarkEnd w:id="25"/>
    <w:bookmarkStart w:id="26" w:name="görevler-sorumluluklar-ve-yetkiler"/>
    <w:p>
      <w:pPr>
        <w:pStyle w:val="Heading4"/>
      </w:pPr>
      <w:r>
        <w:t xml:space="preserve">5.3 Görevler, sorumluluklar ve yetkiler</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Rol</w:t>
            </w:r>
          </w:p>
        </w:tc>
        <w:tc>
          <w:tcPr/>
          <w:p>
            <w:pPr>
              <w:pStyle w:val="Compact"/>
              <w:jc w:val="left"/>
            </w:pPr>
            <w:r>
              <w:rPr>
                <w:b/>
              </w:rPr>
              <w:t xml:space="preserve">Sorumluluklar</w:t>
            </w:r>
          </w:p>
        </w:tc>
      </w:tr>
      <w:tr>
        <w:tc>
          <w:tcPr/>
          <w:p>
            <w:pPr>
              <w:pStyle w:val="Compact"/>
              <w:jc w:val="left"/>
            </w:pPr>
            <w:r>
              <w:t xml:space="preserve">Üst Yönetim</w:t>
            </w:r>
          </w:p>
        </w:tc>
        <w:tc>
          <w:tcPr/>
          <w:p>
            <w:pPr>
              <w:pStyle w:val="Compact"/>
              <w:jc w:val="left"/>
            </w:pPr>
            <w:r>
              <w:t xml:space="preserve">Politikayı onaylar, hedefleri belirler, kaynak sağlar, YGG'yi yürütür, YT'yi atar ve atamayı tüm çalışanlara duyurur.</w:t>
            </w:r>
          </w:p>
        </w:tc>
      </w:tr>
      <w:tr>
        <w:tc>
          <w:tcPr/>
          <w:p>
            <w:pPr>
              <w:pStyle w:val="Compact"/>
              <w:jc w:val="left"/>
            </w:pPr>
            <w:r>
              <w:t xml:space="preserve">Yönetim Temsilcisi (İSG Koordinatörü)</w:t>
            </w:r>
          </w:p>
        </w:tc>
        <w:tc>
          <w:tcPr/>
          <w:p>
            <w:pPr>
              <w:pStyle w:val="Compact"/>
              <w:jc w:val="left"/>
            </w:pPr>
            <w:r>
              <w:t xml:space="preserve">Sistemin ISO 45001:2018'e uygun kurulmasını, uygulanmasını ve sürdürülmesini sağlar; tehlike belirleme ve risk değerlendirmesini koordine eder; mevzuatı izler; İSG performansını ve iyileştirme ihtiyaçlarını üst yönetime raporlar; dış iletişimi takip eder ve gerektiğinde SP Architects'i dış kuruluşlarda temsil eder. Görevleri Görev Talimatı'nda tanımlıdır.</w:t>
            </w:r>
          </w:p>
        </w:tc>
      </w:tr>
      <w:tr>
        <w:tc>
          <w:tcPr/>
          <w:p>
            <w:pPr>
              <w:pStyle w:val="Compact"/>
              <w:jc w:val="left"/>
            </w:pPr>
            <w:r>
              <w:t xml:space="preserve">İSG uzmanı ve işyeri hekimi</w:t>
            </w:r>
          </w:p>
        </w:tc>
        <w:tc>
          <w:tcPr/>
          <w:p>
            <w:pPr>
              <w:pStyle w:val="Compact"/>
              <w:jc w:val="left"/>
            </w:pPr>
            <w:r>
              <w:t xml:space="preserve">Risk değerlendirmesine, eğitime, sağlık gözetimine, olay araştırmasına ve DÖF'lere teknik destek verir; gözlem ve önerilerini kayda geçirir.</w:t>
            </w:r>
          </w:p>
        </w:tc>
      </w:tr>
      <w:tr>
        <w:tc>
          <w:tcPr/>
          <w:p>
            <w:pPr>
              <w:pStyle w:val="Compact"/>
              <w:jc w:val="left"/>
            </w:pPr>
            <w:r>
              <w:t xml:space="preserve">İSG Kurulu (yasal olarak gerekli olduğunda)</w:t>
            </w:r>
          </w:p>
        </w:tc>
        <w:tc>
          <w:tcPr/>
          <w:p>
            <w:pPr>
              <w:pStyle w:val="Compact"/>
              <w:jc w:val="left"/>
            </w:pPr>
            <w:r>
              <w:t xml:space="preserve">İSG faaliyetlerini planlar, izler ve önlem önerir. Kurul gerekli değilse bu görevleri YT, İSG uzmanı ve çalışan temsilcisinin katıldığı İSG Koordinasyon Toplantısı üstlenir.</w:t>
            </w:r>
          </w:p>
        </w:tc>
      </w:tr>
      <w:tr>
        <w:tc>
          <w:tcPr/>
          <w:p>
            <w:pPr>
              <w:pStyle w:val="Compact"/>
              <w:jc w:val="left"/>
            </w:pPr>
            <w:r>
              <w:t xml:space="preserve">Çalışan temsilcisi</w:t>
            </w:r>
          </w:p>
        </w:tc>
        <w:tc>
          <w:tcPr/>
          <w:p>
            <w:pPr>
              <w:pStyle w:val="Compact"/>
              <w:jc w:val="left"/>
            </w:pPr>
            <w:r>
              <w:t xml:space="preserve">Çalışanların görüş ve önerilerini iletir, risk değerlendirmesine ve olay araştırmasına katılır, önlem alınmasını talep eder.</w:t>
            </w:r>
          </w:p>
        </w:tc>
      </w:tr>
      <w:tr>
        <w:tc>
          <w:tcPr/>
          <w:p>
            <w:pPr>
              <w:pStyle w:val="Compact"/>
              <w:jc w:val="left"/>
            </w:pPr>
            <w:r>
              <w:t xml:space="preserve">Birim, proje ve şantiye yöneticileri</w:t>
            </w:r>
          </w:p>
        </w:tc>
        <w:tc>
          <w:tcPr/>
          <w:p>
            <w:pPr>
              <w:pStyle w:val="Compact"/>
              <w:jc w:val="left"/>
            </w:pPr>
            <w:r>
              <w:t xml:space="preserve">Kendi alanlarında İSG şartlarının uygulanmasından, yüklenicilerin uyumundan ve olayların zamanında bildirilmesinden sorumludur.</w:t>
            </w:r>
          </w:p>
        </w:tc>
      </w:tr>
      <w:tr>
        <w:tc>
          <w:tcPr/>
          <w:p>
            <w:pPr>
              <w:pStyle w:val="Compact"/>
              <w:jc w:val="left"/>
            </w:pPr>
            <w:r>
              <w:t xml:space="preserve">Çalışanlar</w:t>
            </w:r>
          </w:p>
        </w:tc>
        <w:tc>
          <w:tcPr/>
          <w:p>
            <w:pPr>
              <w:pStyle w:val="Compact"/>
              <w:jc w:val="left"/>
            </w:pPr>
            <w:r>
              <w:t xml:space="preserve">Eğitimlere katılır, talimatlara ve güvenli çalışma yöntemlerine uyar, KKD'yi doğru kullanır, tehlike, ramak kala ve olayları bildirir; kendisinin ve başkalarının sağlığını ve güvenliğini gözetir.</w:t>
            </w:r>
          </w:p>
        </w:tc>
      </w:tr>
      <w:tr>
        <w:tc>
          <w:tcPr/>
          <w:p>
            <w:pPr>
              <w:pStyle w:val="Compact"/>
              <w:jc w:val="left"/>
            </w:pPr>
            <w:r>
              <w:t xml:space="preserve">Yükleniciler ve alt yükleniciler</w:t>
            </w:r>
          </w:p>
        </w:tc>
        <w:tc>
          <w:tcPr/>
          <w:p>
            <w:pPr>
              <w:pStyle w:val="Compact"/>
              <w:jc w:val="left"/>
            </w:pPr>
            <w:r>
              <w:t xml:space="preserve">SP Architects'in İSG şartlarına ve Politika 8 — Tedarikçi ve Alt Yüklenici Davranış Kuralları'na uyar; kendi çalışanlarının eğitimini ve KKD'sini sağlar, olayları derhal bildirir.</w:t>
            </w:r>
          </w:p>
        </w:tc>
      </w:tr>
    </w:tbl>
    <w:bookmarkEnd w:id="26"/>
    <w:bookmarkStart w:id="27" w:name="katılım-ve-danışma"/>
    <w:p>
      <w:pPr>
        <w:pStyle w:val="Heading4"/>
      </w:pPr>
      <w:r>
        <w:t xml:space="preserve">5.4 Katılım ve danışma</w:t>
      </w:r>
    </w:p>
    <w:p>
      <w:pPr>
        <w:pStyle w:val="FirstParagraph"/>
      </w:pPr>
      <w:r>
        <w:t xml:space="preserve">SP Architects, çalışanlara ve çalışan temsilcisine danışır ve katılımlarını sağlar (6331 Md. 18). Katılım özellikle şu konularda sağlanır:</w:t>
      </w:r>
    </w:p>
    <w:p>
      <w:pPr>
        <w:numPr>
          <w:ilvl w:val="0"/>
          <w:numId w:val="1004"/>
        </w:numPr>
        <w:pStyle w:val="Compact"/>
      </w:pPr>
      <w:r>
        <w:t xml:space="preserve">tehlike belirleme, risk değerlendirmesi ve kontrollerin seçimi;</w:t>
      </w:r>
    </w:p>
    <w:p>
      <w:pPr>
        <w:numPr>
          <w:ilvl w:val="0"/>
          <w:numId w:val="1004"/>
        </w:numPr>
        <w:pStyle w:val="Compact"/>
      </w:pPr>
      <w:r>
        <w:t xml:space="preserve">olay ve ramak kala araştırmaları;</w:t>
      </w:r>
    </w:p>
    <w:p>
      <w:pPr>
        <w:numPr>
          <w:ilvl w:val="0"/>
          <w:numId w:val="1004"/>
        </w:numPr>
        <w:pStyle w:val="Compact"/>
      </w:pPr>
      <w:r>
        <w:t xml:space="preserve">İSG politikası ve hedeflerinin geliştirilmesi ve gözden geçirilmesi;</w:t>
      </w:r>
    </w:p>
    <w:p>
      <w:pPr>
        <w:numPr>
          <w:ilvl w:val="0"/>
          <w:numId w:val="1004"/>
        </w:numPr>
        <w:pStyle w:val="Compact"/>
      </w:pPr>
      <w:r>
        <w:t xml:space="preserve">İSG'yi etkileyen değişiklikler (yeni ofis, yeni şantiye, yeni ekipman, iş organizasyonu değişiklikleri);</w:t>
      </w:r>
    </w:p>
    <w:p>
      <w:pPr>
        <w:numPr>
          <w:ilvl w:val="0"/>
          <w:numId w:val="1004"/>
        </w:numPr>
        <w:pStyle w:val="Compact"/>
      </w:pPr>
      <w:r>
        <w:t xml:space="preserve">eğitim ihtiyaçlarının belirlenmesi.</w:t>
      </w:r>
    </w:p>
    <w:p>
      <w:pPr>
        <w:pStyle w:val="FirstParagraph"/>
      </w:pPr>
      <w:r>
        <w:t xml:space="preserve">Çalışanlar ve temsilcileri katılım için gerekli zaman, bilgi ve eğitime sahip olur; katılımın önündeki engeller (dil, iş yükü, misilleme korkusu gibi) giderilir.</w:t>
      </w:r>
    </w:p>
    <w:bookmarkEnd w:id="27"/>
    <w:bookmarkStart w:id="28" w:name="X26cad15cf90c403c3ccb4a3499caa8aa5e08b6a"/>
    <w:p>
      <w:pPr>
        <w:pStyle w:val="Heading4"/>
      </w:pPr>
      <w:r>
        <w:t xml:space="preserve">5.5 Çalışmaktan kaçınma hakkı ve bildirim kanalları</w:t>
      </w:r>
    </w:p>
    <w:p>
      <w:pPr>
        <w:pStyle w:val="FirstParagraph"/>
      </w:pPr>
      <w:r>
        <w:t xml:space="preserve">Ciddi ve yakın bir tehlike ile karşılaşan çalışan, İSG Kurulu'na veya yoksa işverene başvurarak gerekli tedbirin alınmasını talep edebilir ve tedbir alınıncaya kadar çalışmaktan kaçınabilir; tehlikenin önlenemez olduğu durumlarda çalışma alanını terk edebilir (6331 Md. 13). Bu hakkı kullanan çalışan, ücret ve diğer hakları bakımından kayba uğratılmaz ve hiçbir misillemeye maruz kalmaz. Çalışanlar ayrıca kendilerini belirli bir göreve hazır hissetmediklerini (yorgunluk, sağlık durumu vb.) cezai sonuç olmaksızın yöneticilerine bildirebilir. İSG kaygıları yöneticiye, YT'ye, çalışan temsilcisine veya Politika 6 — Bildirim ve Misillemeye Karşı Koruma kapsamındaki gizli kanal aracılığıyla iletilebilir.</w:t>
      </w:r>
    </w:p>
    <w:bookmarkEnd w:id="28"/>
    <w:bookmarkEnd w:id="29"/>
    <w:bookmarkStart w:id="34" w:name="planlama"/>
    <w:p>
      <w:pPr>
        <w:pStyle w:val="Heading3"/>
      </w:pPr>
      <w:r>
        <w:t xml:space="preserve">6. Planlama</w:t>
      </w:r>
    </w:p>
    <w:bookmarkStart w:id="30" w:name="X106e284021cf9701c0736c5ce1bb09be7e76a25"/>
    <w:p>
      <w:pPr>
        <w:pStyle w:val="Heading4"/>
      </w:pPr>
      <w:r>
        <w:t xml:space="preserve">6.1 Tehlike belirleme, risk değerlendirmesi ve kontrollerin belirlenmesi</w:t>
      </w:r>
    </w:p>
    <w:p>
      <w:pPr>
        <w:pStyle w:val="FirstParagraph"/>
      </w:pPr>
      <w:r>
        <w:t xml:space="preserve">Risk değerlendirmesi düzeltici değil proaktif olarak, İSG uzmanı ve işyeri hekiminin desteğiyle ve çalışan temsilcisinin katılımıyla tüm birimler ve projeler için yapılır. Değerlendirmede şu hususlar dikkate alınır:</w:t>
      </w:r>
    </w:p>
    <w:p>
      <w:pPr>
        <w:numPr>
          <w:ilvl w:val="0"/>
          <w:numId w:val="1005"/>
        </w:numPr>
        <w:pStyle w:val="Compact"/>
      </w:pPr>
      <w:r>
        <w:t xml:space="preserve">rutin ve rutin dışı faaliyetler (ofis, saha ziyaretleri, şantiye, seyahat);</w:t>
      </w:r>
    </w:p>
    <w:p>
      <w:pPr>
        <w:numPr>
          <w:ilvl w:val="0"/>
          <w:numId w:val="1005"/>
        </w:numPr>
        <w:pStyle w:val="Compact"/>
      </w:pPr>
      <w:r>
        <w:t xml:space="preserve">işyerine erişimi olan herkesin, yükleniciler ve ziyaretçiler dahil, faaliyetleri ve uyacakları kurallar;</w:t>
      </w:r>
    </w:p>
    <w:p>
      <w:pPr>
        <w:numPr>
          <w:ilvl w:val="0"/>
          <w:numId w:val="1005"/>
        </w:numPr>
        <w:pStyle w:val="Compact"/>
      </w:pPr>
      <w:r>
        <w:t xml:space="preserve">insan davranışları, yetenekleri ve diğer insan faktörleri; kadın, genç, yaşlı, engelli, gebe ve emziren çalışanlar gibi özel politika gerektiren gruplar;</w:t>
      </w:r>
    </w:p>
    <w:p>
      <w:pPr>
        <w:numPr>
          <w:ilvl w:val="0"/>
          <w:numId w:val="1005"/>
        </w:numPr>
        <w:pStyle w:val="Compact"/>
      </w:pPr>
      <w:r>
        <w:t xml:space="preserve">işyeri dışından kaynaklanıp SP Architects'in kontrolündeki kişileri etkileyebilecek tehlikeler ile işyeri çevresindeki faaliyetlerden kaynaklanan tehlikeler;</w:t>
      </w:r>
    </w:p>
    <w:p>
      <w:pPr>
        <w:numPr>
          <w:ilvl w:val="0"/>
          <w:numId w:val="1005"/>
        </w:numPr>
        <w:pStyle w:val="Compact"/>
      </w:pPr>
      <w:r>
        <w:t xml:space="preserve">SP Architects veya başkalarınca sağlanan altyapı, ekipman ve malzemeler;</w:t>
      </w:r>
    </w:p>
    <w:p>
      <w:pPr>
        <w:numPr>
          <w:ilvl w:val="0"/>
          <w:numId w:val="1005"/>
        </w:numPr>
        <w:pStyle w:val="Compact"/>
      </w:pPr>
      <w:r>
        <w:t xml:space="preserve">kuruluşta, faaliyetlerde, malzemelerde veya İSG Yönetim Sistemi'nde yapılan ya da planlanan geçici ve kalıcı değişiklikler;</w:t>
      </w:r>
    </w:p>
    <w:p>
      <w:pPr>
        <w:numPr>
          <w:ilvl w:val="0"/>
          <w:numId w:val="1005"/>
        </w:numPr>
        <w:pStyle w:val="Compact"/>
      </w:pPr>
      <w:r>
        <w:t xml:space="preserve">uygulanabilir yasal yükümlülükler;</w:t>
      </w:r>
    </w:p>
    <w:p>
      <w:pPr>
        <w:numPr>
          <w:ilvl w:val="0"/>
          <w:numId w:val="1005"/>
        </w:numPr>
        <w:pStyle w:val="Compact"/>
      </w:pPr>
      <w:r>
        <w:t xml:space="preserve">çalışma alanlarının, süreçlerin, ekipmanın ve iş organizasyonunun tasarımı ve insan yeteneklerine uyarlanması (ergonomi).</w:t>
      </w:r>
    </w:p>
    <w:p>
      <w:pPr>
        <w:pStyle w:val="FirstParagraph"/>
      </w:pPr>
      <w:r>
        <w:t xml:space="preserve">Risk değerlendirmesi 5x5 matris yöntemiyle, en kötü gerçekçi senaryo esas alınarak yapılır ve İSG Tehlike Tanımlama ve Risk Analiz Formu (F.10.04) ile kaydedilir.</w:t>
      </w:r>
    </w:p>
    <w:p>
      <w:pPr>
        <w:pStyle w:val="BodyText"/>
      </w:pPr>
      <w:r>
        <w:rPr>
          <w:bCs/>
          <w:b/>
        </w:rPr>
        <w:t xml:space="preserve">Tablo 1 — Olasılık (RO)</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2640"/>
        <w:gridCol w:w="2640"/>
        <w:gridCol w:w="2640"/>
      </w:tblGrid>
      <w:tr>
        <w:trPr>
          <w:tblHeader w:val="true"/>
        </w:trPr>
        <w:tc>
          <w:tcPr/>
          <w:p>
            <w:pPr>
              <w:pStyle w:val="Compact"/>
              <w:jc w:val="left"/>
            </w:pPr>
            <w:r>
              <w:rPr>
                <w:b/>
              </w:rPr>
              <w:t xml:space="preserve">Olasılık</w:t>
            </w:r>
          </w:p>
        </w:tc>
        <w:tc>
          <w:tcPr/>
          <w:p>
            <w:pPr>
              <w:pStyle w:val="Compact"/>
              <w:jc w:val="left"/>
            </w:pPr>
            <w:r>
              <w:rPr>
                <w:b/>
              </w:rPr>
              <w:t xml:space="preserve">Derecelendirme</w:t>
            </w:r>
          </w:p>
        </w:tc>
        <w:tc>
          <w:tcPr/>
          <w:p>
            <w:pPr>
              <w:pStyle w:val="Compact"/>
              <w:jc w:val="left"/>
            </w:pPr>
            <w:r>
              <w:rPr>
                <w:b/>
              </w:rPr>
              <w:t xml:space="preserve">Puan</w:t>
            </w:r>
          </w:p>
        </w:tc>
      </w:tr>
      <w:tr>
        <w:tc>
          <w:tcPr/>
          <w:p>
            <w:pPr>
              <w:pStyle w:val="Compact"/>
              <w:jc w:val="left"/>
            </w:pPr>
            <w:r>
              <w:t xml:space="preserve">Çok küçük</w:t>
            </w:r>
          </w:p>
        </w:tc>
        <w:tc>
          <w:tcPr/>
          <w:p>
            <w:pPr>
              <w:pStyle w:val="Compact"/>
              <w:jc w:val="left"/>
            </w:pPr>
            <w:r>
              <w:t xml:space="preserve">Neredeyse mümkün değil (yılda bir)</w:t>
            </w:r>
          </w:p>
        </w:tc>
        <w:tc>
          <w:tcPr/>
          <w:p>
            <w:pPr>
              <w:pStyle w:val="Compact"/>
              <w:jc w:val="left"/>
            </w:pPr>
            <w:r>
              <w:t xml:space="preserve">1</w:t>
            </w:r>
          </w:p>
        </w:tc>
      </w:tr>
      <w:tr>
        <w:tc>
          <w:tcPr/>
          <w:p>
            <w:pPr>
              <w:pStyle w:val="Compact"/>
              <w:jc w:val="left"/>
            </w:pPr>
            <w:r>
              <w:t xml:space="preserve">Küçük</w:t>
            </w:r>
          </w:p>
        </w:tc>
        <w:tc>
          <w:tcPr/>
          <w:p>
            <w:pPr>
              <w:pStyle w:val="Compact"/>
              <w:jc w:val="left"/>
            </w:pPr>
            <w:r>
              <w:t xml:space="preserve">Az olasılıkla (yılda birkaç kez)</w:t>
            </w:r>
          </w:p>
        </w:tc>
        <w:tc>
          <w:tcPr/>
          <w:p>
            <w:pPr>
              <w:pStyle w:val="Compact"/>
              <w:jc w:val="left"/>
            </w:pPr>
            <w:r>
              <w:t xml:space="preserve">2</w:t>
            </w:r>
          </w:p>
        </w:tc>
      </w:tr>
      <w:tr>
        <w:tc>
          <w:tcPr/>
          <w:p>
            <w:pPr>
              <w:pStyle w:val="Compact"/>
              <w:jc w:val="left"/>
            </w:pPr>
            <w:r>
              <w:t xml:space="preserve">Orta</w:t>
            </w:r>
          </w:p>
        </w:tc>
        <w:tc>
          <w:tcPr/>
          <w:p>
            <w:pPr>
              <w:pStyle w:val="Compact"/>
              <w:jc w:val="left"/>
            </w:pPr>
            <w:r>
              <w:t xml:space="preserve">Olasılık dahilinde (ayda bir)</w:t>
            </w:r>
          </w:p>
        </w:tc>
        <w:tc>
          <w:tcPr/>
          <w:p>
            <w:pPr>
              <w:pStyle w:val="Compact"/>
              <w:jc w:val="left"/>
            </w:pPr>
            <w:r>
              <w:t xml:space="preserve">3</w:t>
            </w:r>
          </w:p>
        </w:tc>
      </w:tr>
      <w:tr>
        <w:tc>
          <w:tcPr/>
          <w:p>
            <w:pPr>
              <w:pStyle w:val="Compact"/>
              <w:jc w:val="left"/>
            </w:pPr>
            <w:r>
              <w:t xml:space="preserve">Yüksek</w:t>
            </w:r>
          </w:p>
        </w:tc>
        <w:tc>
          <w:tcPr/>
          <w:p>
            <w:pPr>
              <w:pStyle w:val="Compact"/>
              <w:jc w:val="left"/>
            </w:pPr>
            <w:r>
              <w:t xml:space="preserve">Çok büyük olasılıkla (haftada bir)</w:t>
            </w:r>
          </w:p>
        </w:tc>
        <w:tc>
          <w:tcPr/>
          <w:p>
            <w:pPr>
              <w:pStyle w:val="Compact"/>
              <w:jc w:val="left"/>
            </w:pPr>
            <w:r>
              <w:t xml:space="preserve">4</w:t>
            </w:r>
          </w:p>
        </w:tc>
      </w:tr>
      <w:tr>
        <w:tc>
          <w:tcPr/>
          <w:p>
            <w:pPr>
              <w:pStyle w:val="Compact"/>
              <w:jc w:val="left"/>
            </w:pPr>
            <w:r>
              <w:t xml:space="preserve">Çok yüksek</w:t>
            </w:r>
          </w:p>
        </w:tc>
        <w:tc>
          <w:tcPr/>
          <w:p>
            <w:pPr>
              <w:pStyle w:val="Compact"/>
              <w:jc w:val="left"/>
            </w:pPr>
            <w:r>
              <w:t xml:space="preserve">Kaçınılamaz (her gün)</w:t>
            </w:r>
          </w:p>
        </w:tc>
        <w:tc>
          <w:tcPr/>
          <w:p>
            <w:pPr>
              <w:pStyle w:val="Compact"/>
              <w:jc w:val="left"/>
            </w:pPr>
            <w:r>
              <w:t xml:space="preserve">5</w:t>
            </w:r>
          </w:p>
        </w:tc>
      </w:tr>
    </w:tbl>
    <w:p>
      <w:pPr>
        <w:pStyle w:val="BodyText"/>
      </w:pPr>
      <w:r>
        <w:rPr>
          <w:bCs/>
          <w:b/>
        </w:rPr>
        <w:t xml:space="preserve">Tablo 2 — Şiddet (RŞ)</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2640"/>
        <w:gridCol w:w="2640"/>
        <w:gridCol w:w="2640"/>
      </w:tblGrid>
      <w:tr>
        <w:trPr>
          <w:tblHeader w:val="true"/>
        </w:trPr>
        <w:tc>
          <w:tcPr/>
          <w:p>
            <w:pPr>
              <w:pStyle w:val="Compact"/>
              <w:jc w:val="left"/>
            </w:pPr>
            <w:r>
              <w:rPr>
                <w:b/>
              </w:rPr>
              <w:t xml:space="preserve">Şiddet</w:t>
            </w:r>
          </w:p>
        </w:tc>
        <w:tc>
          <w:tcPr/>
          <w:p>
            <w:pPr>
              <w:pStyle w:val="Compact"/>
              <w:jc w:val="left"/>
            </w:pPr>
            <w:r>
              <w:rPr>
                <w:b/>
              </w:rPr>
              <w:t xml:space="preserve">Değerlendirme</w:t>
            </w:r>
          </w:p>
        </w:tc>
        <w:tc>
          <w:tcPr/>
          <w:p>
            <w:pPr>
              <w:pStyle w:val="Compact"/>
              <w:jc w:val="left"/>
            </w:pPr>
            <w:r>
              <w:rPr>
                <w:b/>
              </w:rPr>
              <w:t xml:space="preserve">Puan</w:t>
            </w:r>
          </w:p>
        </w:tc>
      </w:tr>
      <w:tr>
        <w:tc>
          <w:tcPr/>
          <w:p>
            <w:pPr>
              <w:pStyle w:val="Compact"/>
              <w:jc w:val="left"/>
            </w:pPr>
            <w:r>
              <w:t xml:space="preserve">Çok hafif</w:t>
            </w:r>
          </w:p>
        </w:tc>
        <w:tc>
          <w:tcPr/>
          <w:p>
            <w:pPr>
              <w:pStyle w:val="Compact"/>
              <w:jc w:val="left"/>
            </w:pPr>
            <w:r>
              <w:t xml:space="preserve">İş saati kaybı yok; ilk yardım yeterli</w:t>
            </w:r>
          </w:p>
        </w:tc>
        <w:tc>
          <w:tcPr/>
          <w:p>
            <w:pPr>
              <w:pStyle w:val="Compact"/>
              <w:jc w:val="left"/>
            </w:pPr>
            <w:r>
              <w:t xml:space="preserve">1</w:t>
            </w:r>
          </w:p>
        </w:tc>
      </w:tr>
      <w:tr>
        <w:tc>
          <w:tcPr/>
          <w:p>
            <w:pPr>
              <w:pStyle w:val="Compact"/>
              <w:jc w:val="left"/>
            </w:pPr>
            <w:r>
              <w:t xml:space="preserve">Hafif</w:t>
            </w:r>
          </w:p>
        </w:tc>
        <w:tc>
          <w:tcPr/>
          <w:p>
            <w:pPr>
              <w:pStyle w:val="Compact"/>
              <w:jc w:val="left"/>
            </w:pPr>
            <w:r>
              <w:t xml:space="preserve">İş günü kaybı yok; ilk yardım veya tıbbi tedavi gerekli</w:t>
            </w:r>
          </w:p>
        </w:tc>
        <w:tc>
          <w:tcPr/>
          <w:p>
            <w:pPr>
              <w:pStyle w:val="Compact"/>
              <w:jc w:val="left"/>
            </w:pPr>
            <w:r>
              <w:t xml:space="preserve">2</w:t>
            </w:r>
          </w:p>
        </w:tc>
      </w:tr>
      <w:tr>
        <w:tc>
          <w:tcPr/>
          <w:p>
            <w:pPr>
              <w:pStyle w:val="Compact"/>
              <w:jc w:val="left"/>
            </w:pPr>
            <w:r>
              <w:t xml:space="preserve">Ciddi</w:t>
            </w:r>
          </w:p>
        </w:tc>
        <w:tc>
          <w:tcPr/>
          <w:p>
            <w:pPr>
              <w:pStyle w:val="Compact"/>
              <w:jc w:val="left"/>
            </w:pPr>
            <w:r>
              <w:t xml:space="preserve">İş günü kayıplı kaza; hafif yaralanma, tedavi gerekli</w:t>
            </w:r>
          </w:p>
        </w:tc>
        <w:tc>
          <w:tcPr/>
          <w:p>
            <w:pPr>
              <w:pStyle w:val="Compact"/>
              <w:jc w:val="left"/>
            </w:pPr>
            <w:r>
              <w:t xml:space="preserve">3</w:t>
            </w:r>
          </w:p>
        </w:tc>
      </w:tr>
      <w:tr>
        <w:tc>
          <w:tcPr/>
          <w:p>
            <w:pPr>
              <w:pStyle w:val="Compact"/>
              <w:jc w:val="left"/>
            </w:pPr>
            <w:r>
              <w:t xml:space="preserve">Çok ciddi</w:t>
            </w:r>
          </w:p>
        </w:tc>
        <w:tc>
          <w:tcPr/>
          <w:p>
            <w:pPr>
              <w:pStyle w:val="Compact"/>
              <w:jc w:val="left"/>
            </w:pPr>
            <w:r>
              <w:t xml:space="preserve">Ölüm, uzuv kaybı, ağır yaralanma, meslek hastalığı</w:t>
            </w:r>
          </w:p>
        </w:tc>
        <w:tc>
          <w:tcPr/>
          <w:p>
            <w:pPr>
              <w:pStyle w:val="Compact"/>
              <w:jc w:val="left"/>
            </w:pPr>
            <w:r>
              <w:t xml:space="preserve">4</w:t>
            </w:r>
          </w:p>
        </w:tc>
      </w:tr>
      <w:tr>
        <w:tc>
          <w:tcPr/>
          <w:p>
            <w:pPr>
              <w:pStyle w:val="Compact"/>
              <w:jc w:val="left"/>
            </w:pPr>
            <w:r>
              <w:t xml:space="preserve">Felaket</w:t>
            </w:r>
          </w:p>
        </w:tc>
        <w:tc>
          <w:tcPr/>
          <w:p>
            <w:pPr>
              <w:pStyle w:val="Compact"/>
              <w:jc w:val="left"/>
            </w:pPr>
            <w:r>
              <w:t xml:space="preserve">Birden fazla ölüm</w:t>
            </w:r>
          </w:p>
        </w:tc>
        <w:tc>
          <w:tcPr/>
          <w:p>
            <w:pPr>
              <w:pStyle w:val="Compact"/>
              <w:jc w:val="left"/>
            </w:pPr>
            <w:r>
              <w:t xml:space="preserve">5</w:t>
            </w:r>
          </w:p>
        </w:tc>
      </w:tr>
    </w:tbl>
    <w:p>
      <w:pPr>
        <w:pStyle w:val="BodyText"/>
      </w:pPr>
      <w:r>
        <w:rPr>
          <w:bCs/>
          <w:b/>
        </w:rPr>
        <w:t xml:space="preserve">Tablo 3 — Risk matrisi (RD = RO x RŞ)</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320"/>
        <w:gridCol w:w="1320"/>
        <w:gridCol w:w="1320"/>
        <w:gridCol w:w="1320"/>
        <w:gridCol w:w="1320"/>
        <w:gridCol w:w="1320"/>
      </w:tblGrid>
      <w:tr>
        <w:trPr>
          <w:tblHeader w:val="true"/>
        </w:trPr>
        <w:tc>
          <w:tcPr/>
          <w:p>
            <w:pPr>
              <w:pStyle w:val="Compact"/>
              <w:jc w:val="left"/>
            </w:pPr>
            <w:r>
              <w:rPr>
                <w:b/>
              </w:rPr>
              <w:t xml:space="preserve">Olasılık  Şiddet</w:t>
            </w:r>
          </w:p>
        </w:tc>
        <w:tc>
          <w:tcPr/>
          <w:p>
            <w:pPr>
              <w:pStyle w:val="Compact"/>
              <w:jc w:val="left"/>
            </w:pPr>
            <w:r>
              <w:rPr>
                <w:b/>
              </w:rPr>
              <w:t xml:space="preserve">1 Çok hafif</w:t>
            </w:r>
          </w:p>
        </w:tc>
        <w:tc>
          <w:tcPr/>
          <w:p>
            <w:pPr>
              <w:pStyle w:val="Compact"/>
              <w:jc w:val="left"/>
            </w:pPr>
            <w:r>
              <w:rPr>
                <w:b/>
              </w:rPr>
              <w:t xml:space="preserve">2 Hafif</w:t>
            </w:r>
          </w:p>
        </w:tc>
        <w:tc>
          <w:tcPr/>
          <w:p>
            <w:pPr>
              <w:pStyle w:val="Compact"/>
              <w:jc w:val="left"/>
            </w:pPr>
            <w:r>
              <w:rPr>
                <w:b/>
              </w:rPr>
              <w:t xml:space="preserve">3 Ciddi</w:t>
            </w:r>
          </w:p>
        </w:tc>
        <w:tc>
          <w:tcPr/>
          <w:p>
            <w:pPr>
              <w:pStyle w:val="Compact"/>
              <w:jc w:val="left"/>
            </w:pPr>
            <w:r>
              <w:rPr>
                <w:b/>
              </w:rPr>
              <w:t xml:space="preserve">4 Çok ciddi</w:t>
            </w:r>
          </w:p>
        </w:tc>
        <w:tc>
          <w:tcPr/>
          <w:p>
            <w:pPr>
              <w:pStyle w:val="Compact"/>
              <w:jc w:val="left"/>
            </w:pPr>
            <w:r>
              <w:rPr>
                <w:b/>
              </w:rPr>
              <w:t xml:space="preserve">5 Felaket</w:t>
            </w:r>
          </w:p>
        </w:tc>
      </w:tr>
      <w:tr>
        <w:tc>
          <w:tcPr/>
          <w:p>
            <w:pPr>
              <w:pStyle w:val="Compact"/>
              <w:jc w:val="left"/>
            </w:pPr>
            <w:r>
              <w:t xml:space="preserve">5 Çok yüksek</w:t>
            </w:r>
          </w:p>
        </w:tc>
        <w:tc>
          <w:tcPr/>
          <w:p>
            <w:pPr>
              <w:pStyle w:val="Compact"/>
              <w:jc w:val="left"/>
            </w:pPr>
            <w:r>
              <w:t xml:space="preserve">5 (C)</w:t>
            </w:r>
          </w:p>
        </w:tc>
        <w:tc>
          <w:tcPr/>
          <w:p>
            <w:pPr>
              <w:pStyle w:val="Compact"/>
              <w:jc w:val="left"/>
            </w:pPr>
            <w:r>
              <w:t xml:space="preserve">10 (B)</w:t>
            </w:r>
          </w:p>
        </w:tc>
        <w:tc>
          <w:tcPr/>
          <w:p>
            <w:pPr>
              <w:pStyle w:val="Compact"/>
              <w:jc w:val="left"/>
            </w:pPr>
            <w:r>
              <w:t xml:space="preserve">15 (A)</w:t>
            </w:r>
          </w:p>
        </w:tc>
        <w:tc>
          <w:tcPr/>
          <w:p>
            <w:pPr>
              <w:pStyle w:val="Compact"/>
              <w:jc w:val="left"/>
            </w:pPr>
            <w:r>
              <w:t xml:space="preserve">20 (A)</w:t>
            </w:r>
          </w:p>
        </w:tc>
        <w:tc>
          <w:tcPr/>
          <w:p>
            <w:pPr>
              <w:pStyle w:val="Compact"/>
              <w:jc w:val="left"/>
            </w:pPr>
            <w:r>
              <w:t xml:space="preserve">25 (A)</w:t>
            </w:r>
          </w:p>
        </w:tc>
      </w:tr>
      <w:tr>
        <w:tc>
          <w:tcPr/>
          <w:p>
            <w:pPr>
              <w:pStyle w:val="Compact"/>
              <w:jc w:val="left"/>
            </w:pPr>
            <w:r>
              <w:t xml:space="preserve">4 Yüksek</w:t>
            </w:r>
          </w:p>
        </w:tc>
        <w:tc>
          <w:tcPr/>
          <w:p>
            <w:pPr>
              <w:pStyle w:val="Compact"/>
              <w:jc w:val="left"/>
            </w:pPr>
            <w:r>
              <w:t xml:space="preserve">4 (C)</w:t>
            </w:r>
          </w:p>
        </w:tc>
        <w:tc>
          <w:tcPr/>
          <w:p>
            <w:pPr>
              <w:pStyle w:val="Compact"/>
              <w:jc w:val="left"/>
            </w:pPr>
            <w:r>
              <w:t xml:space="preserve">8 (B)</w:t>
            </w:r>
          </w:p>
        </w:tc>
        <w:tc>
          <w:tcPr/>
          <w:p>
            <w:pPr>
              <w:pStyle w:val="Compact"/>
              <w:jc w:val="left"/>
            </w:pPr>
            <w:r>
              <w:t xml:space="preserve">12 (B)</w:t>
            </w:r>
          </w:p>
        </w:tc>
        <w:tc>
          <w:tcPr/>
          <w:p>
            <w:pPr>
              <w:pStyle w:val="Compact"/>
              <w:jc w:val="left"/>
            </w:pPr>
            <w:r>
              <w:t xml:space="preserve">16 (A)</w:t>
            </w:r>
          </w:p>
        </w:tc>
        <w:tc>
          <w:tcPr/>
          <w:p>
            <w:pPr>
              <w:pStyle w:val="Compact"/>
              <w:jc w:val="left"/>
            </w:pPr>
            <w:r>
              <w:t xml:space="preserve">20 (A)</w:t>
            </w:r>
          </w:p>
        </w:tc>
      </w:tr>
      <w:tr>
        <w:tc>
          <w:tcPr/>
          <w:p>
            <w:pPr>
              <w:pStyle w:val="Compact"/>
              <w:jc w:val="left"/>
            </w:pPr>
            <w:r>
              <w:t xml:space="preserve">3 Orta</w:t>
            </w:r>
          </w:p>
        </w:tc>
        <w:tc>
          <w:tcPr/>
          <w:p>
            <w:pPr>
              <w:pStyle w:val="Compact"/>
              <w:jc w:val="left"/>
            </w:pPr>
            <w:r>
              <w:t xml:space="preserve">3 (C)</w:t>
            </w:r>
          </w:p>
        </w:tc>
        <w:tc>
          <w:tcPr/>
          <w:p>
            <w:pPr>
              <w:pStyle w:val="Compact"/>
              <w:jc w:val="left"/>
            </w:pPr>
            <w:r>
              <w:t xml:space="preserve">6 (C)</w:t>
            </w:r>
          </w:p>
        </w:tc>
        <w:tc>
          <w:tcPr/>
          <w:p>
            <w:pPr>
              <w:pStyle w:val="Compact"/>
              <w:jc w:val="left"/>
            </w:pPr>
            <w:r>
              <w:t xml:space="preserve">9 (B)</w:t>
            </w:r>
          </w:p>
        </w:tc>
        <w:tc>
          <w:tcPr/>
          <w:p>
            <w:pPr>
              <w:pStyle w:val="Compact"/>
              <w:jc w:val="left"/>
            </w:pPr>
            <w:r>
              <w:t xml:space="preserve">12 (B)</w:t>
            </w:r>
          </w:p>
        </w:tc>
        <w:tc>
          <w:tcPr/>
          <w:p>
            <w:pPr>
              <w:pStyle w:val="Compact"/>
              <w:jc w:val="left"/>
            </w:pPr>
            <w:r>
              <w:t xml:space="preserve">15 (A)</w:t>
            </w:r>
          </w:p>
        </w:tc>
      </w:tr>
      <w:tr>
        <w:tc>
          <w:tcPr/>
          <w:p>
            <w:pPr>
              <w:pStyle w:val="Compact"/>
              <w:jc w:val="left"/>
            </w:pPr>
            <w:r>
              <w:t xml:space="preserve">2 Küçük</w:t>
            </w:r>
          </w:p>
        </w:tc>
        <w:tc>
          <w:tcPr/>
          <w:p>
            <w:pPr>
              <w:pStyle w:val="Compact"/>
              <w:jc w:val="left"/>
            </w:pPr>
            <w:r>
              <w:t xml:space="preserve">2 (C)</w:t>
            </w:r>
          </w:p>
        </w:tc>
        <w:tc>
          <w:tcPr/>
          <w:p>
            <w:pPr>
              <w:pStyle w:val="Compact"/>
              <w:jc w:val="left"/>
            </w:pPr>
            <w:r>
              <w:t xml:space="preserve">4 (C)</w:t>
            </w:r>
          </w:p>
        </w:tc>
        <w:tc>
          <w:tcPr/>
          <w:p>
            <w:pPr>
              <w:pStyle w:val="Compact"/>
              <w:jc w:val="left"/>
            </w:pPr>
            <w:r>
              <w:t xml:space="preserve">6 (C)</w:t>
            </w:r>
          </w:p>
        </w:tc>
        <w:tc>
          <w:tcPr/>
          <w:p>
            <w:pPr>
              <w:pStyle w:val="Compact"/>
              <w:jc w:val="left"/>
            </w:pPr>
            <w:r>
              <w:t xml:space="preserve">8 (B)</w:t>
            </w:r>
          </w:p>
        </w:tc>
        <w:tc>
          <w:tcPr/>
          <w:p>
            <w:pPr>
              <w:pStyle w:val="Compact"/>
              <w:jc w:val="left"/>
            </w:pPr>
            <w:r>
              <w:t xml:space="preserve">10 (B)</w:t>
            </w:r>
          </w:p>
        </w:tc>
      </w:tr>
      <w:tr>
        <w:tc>
          <w:tcPr/>
          <w:p>
            <w:pPr>
              <w:pStyle w:val="Compact"/>
              <w:jc w:val="left"/>
            </w:pPr>
            <w:r>
              <w:t xml:space="preserve">1 Çok küçük</w:t>
            </w:r>
          </w:p>
        </w:tc>
        <w:tc>
          <w:tcPr/>
          <w:p>
            <w:pPr>
              <w:pStyle w:val="Compact"/>
              <w:jc w:val="left"/>
            </w:pPr>
            <w:r>
              <w:t xml:space="preserve">1 (C)</w:t>
            </w:r>
          </w:p>
        </w:tc>
        <w:tc>
          <w:tcPr/>
          <w:p>
            <w:pPr>
              <w:pStyle w:val="Compact"/>
              <w:jc w:val="left"/>
            </w:pPr>
            <w:r>
              <w:t xml:space="preserve">2 (C)</w:t>
            </w:r>
          </w:p>
        </w:tc>
        <w:tc>
          <w:tcPr/>
          <w:p>
            <w:pPr>
              <w:pStyle w:val="Compact"/>
              <w:jc w:val="left"/>
            </w:pPr>
            <w:r>
              <w:t xml:space="preserve">3 (C)</w:t>
            </w:r>
          </w:p>
        </w:tc>
        <w:tc>
          <w:tcPr/>
          <w:p>
            <w:pPr>
              <w:pStyle w:val="Compact"/>
              <w:jc w:val="left"/>
            </w:pPr>
            <w:r>
              <w:t xml:space="preserve">4 (C)</w:t>
            </w:r>
          </w:p>
        </w:tc>
        <w:tc>
          <w:tcPr/>
          <w:p>
            <w:pPr>
              <w:pStyle w:val="Compact"/>
              <w:jc w:val="left"/>
            </w:pPr>
            <w:r>
              <w:t xml:space="preserve">5 (C)</w:t>
            </w:r>
          </w:p>
        </w:tc>
      </w:tr>
    </w:tbl>
    <w:p>
      <w:pPr>
        <w:pStyle w:val="BodyText"/>
      </w:pPr>
      <w:r>
        <w:rPr>
          <w:bCs/>
          <w:b/>
        </w:rPr>
        <w:t xml:space="preserve">Tablo 4 — Eylem planı</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jc w:val="left"/>
            </w:pPr>
            <w:r>
              <w:rPr>
                <w:b/>
              </w:rPr>
              <w:t xml:space="preserve">Risk derecesi</w:t>
            </w:r>
          </w:p>
        </w:tc>
        <w:tc>
          <w:tcPr/>
          <w:p>
            <w:pPr>
              <w:pStyle w:val="Compact"/>
              <w:jc w:val="left"/>
            </w:pPr>
            <w:r>
              <w:rPr>
                <w:b/>
              </w:rPr>
              <w:t xml:space="preserve">Risk düzeyi</w:t>
            </w:r>
          </w:p>
        </w:tc>
        <w:tc>
          <w:tcPr/>
          <w:p>
            <w:pPr>
              <w:pStyle w:val="Compact"/>
              <w:jc w:val="left"/>
            </w:pPr>
            <w:r>
              <w:rPr>
                <w:b/>
              </w:rPr>
              <w:t xml:space="preserve">Eylem</w:t>
            </w:r>
          </w:p>
        </w:tc>
        <w:tc>
          <w:tcPr/>
          <w:p>
            <w:pPr>
              <w:pStyle w:val="Compact"/>
              <w:jc w:val="left"/>
            </w:pPr>
            <w:r>
              <w:rPr>
                <w:b/>
              </w:rPr>
              <w:t xml:space="preserve">Önem</w:t>
            </w:r>
          </w:p>
        </w:tc>
      </w:tr>
      <w:tr>
        <w:tc>
          <w:tcPr/>
          <w:p>
            <w:pPr>
              <w:pStyle w:val="Compact"/>
              <w:jc w:val="left"/>
            </w:pPr>
            <w:r>
              <w:t xml:space="preserve">15 ≤ RD ≤ 25</w:t>
            </w:r>
          </w:p>
        </w:tc>
        <w:tc>
          <w:tcPr/>
          <w:p>
            <w:pPr>
              <w:pStyle w:val="Compact"/>
              <w:jc w:val="left"/>
            </w:pPr>
            <w:r>
              <w:t xml:space="preserve">Kabul edilemez</w:t>
            </w:r>
          </w:p>
        </w:tc>
        <w:tc>
          <w:tcPr/>
          <w:p>
            <w:pPr>
              <w:pStyle w:val="Compact"/>
              <w:jc w:val="left"/>
            </w:pPr>
            <w:r>
              <w:t xml:space="preserve">Risk kabul edilebilir düzeye indirilinceye kadar iş başlatılmaz; devam eden iş derhal durdurulur. Risk düşürülemiyorsa faaliyet yapılmaz.</w:t>
            </w:r>
          </w:p>
        </w:tc>
        <w:tc>
          <w:tcPr/>
          <w:p>
            <w:pPr>
              <w:pStyle w:val="Compact"/>
              <w:jc w:val="left"/>
            </w:pPr>
            <w:r>
              <w:t xml:space="preserve">A</w:t>
            </w:r>
          </w:p>
        </w:tc>
      </w:tr>
      <w:tr>
        <w:tc>
          <w:tcPr/>
          <w:p>
            <w:pPr>
              <w:pStyle w:val="Compact"/>
              <w:jc w:val="left"/>
            </w:pPr>
            <w:r>
              <w:t xml:space="preserve">7 ≤ RD ≤ 14</w:t>
            </w:r>
          </w:p>
        </w:tc>
        <w:tc>
          <w:tcPr/>
          <w:p>
            <w:pPr>
              <w:pStyle w:val="Compact"/>
              <w:jc w:val="left"/>
            </w:pPr>
            <w:r>
              <w:t xml:space="preserve">Dikkate değer</w:t>
            </w:r>
          </w:p>
        </w:tc>
        <w:tc>
          <w:tcPr/>
          <w:p>
            <w:pPr>
              <w:pStyle w:val="Compact"/>
              <w:jc w:val="left"/>
            </w:pPr>
            <w:r>
              <w:t xml:space="preserve">En kısa sürede müdahale edilir; faaliyetin devamına müdahale sonucuna göre karar verilir.</w:t>
            </w:r>
          </w:p>
        </w:tc>
        <w:tc>
          <w:tcPr/>
          <w:p>
            <w:pPr>
              <w:pStyle w:val="Compact"/>
              <w:jc w:val="left"/>
            </w:pPr>
            <w:r>
              <w:t xml:space="preserve">B</w:t>
            </w:r>
          </w:p>
        </w:tc>
      </w:tr>
      <w:tr>
        <w:tc>
          <w:tcPr/>
          <w:p>
            <w:pPr>
              <w:pStyle w:val="Compact"/>
              <w:jc w:val="left"/>
            </w:pPr>
            <w:r>
              <w:t xml:space="preserve">1 ≤ RD ≤ 6</w:t>
            </w:r>
          </w:p>
        </w:tc>
        <w:tc>
          <w:tcPr/>
          <w:p>
            <w:pPr>
              <w:pStyle w:val="Compact"/>
              <w:jc w:val="left"/>
            </w:pPr>
            <w:r>
              <w:t xml:space="preserve">Kabul edilebilir</w:t>
            </w:r>
          </w:p>
        </w:tc>
        <w:tc>
          <w:tcPr/>
          <w:p>
            <w:pPr>
              <w:pStyle w:val="Compact"/>
              <w:jc w:val="left"/>
            </w:pPr>
            <w:r>
              <w:t xml:space="preserve">İlave kontrol gerekmeyebilir; mevcut kontroller sürdürülür ve izlenir.</w:t>
            </w:r>
          </w:p>
        </w:tc>
        <w:tc>
          <w:tcPr/>
          <w:p>
            <w:pPr>
              <w:pStyle w:val="Compact"/>
              <w:jc w:val="left"/>
            </w:pPr>
            <w:r>
              <w:t xml:space="preserve">C</w:t>
            </w:r>
          </w:p>
        </w:tc>
      </w:tr>
    </w:tbl>
    <w:p>
      <w:pPr>
        <w:pStyle w:val="BodyText"/>
      </w:pPr>
      <w:r>
        <w:t xml:space="preserve">Değerlendirme sonucunda riskleri kabul edilebilir düzeye indirmek için DÖF sistemine uygun eylemler planlanır (DÖF Formu, EK-4); eylemler tamamlandıktan sonra risk yeniden puanlanır. Risk değerlendirmesi; yeni faaliyet, ekipman, işyeri veya proje başlangıcında, önemli bir değişiklikte, iş kazası, meslek hastalığı veya ciddi ramak kala sonrasında ve mevzuatta öngörülen periyotlarda yenilenir. Değişikliklere ilişkin tehlike ve riskler, değişiklik uygulanmadan önce belirlenir.</w:t>
      </w:r>
    </w:p>
    <w:bookmarkEnd w:id="30"/>
    <w:bookmarkStart w:id="31" w:name="kontrol-hiyerarşisi"/>
    <w:p>
      <w:pPr>
        <w:pStyle w:val="Heading4"/>
      </w:pPr>
      <w:r>
        <w:t xml:space="preserve">6.2 Kontrol hiyerarşisi</w:t>
      </w:r>
    </w:p>
    <w:p>
      <w:pPr>
        <w:pStyle w:val="FirstParagraph"/>
      </w:pPr>
      <w:r>
        <w:t xml:space="preserve">Kontroller belirlenirken veya değiştirilirken aşağıdaki sıra izlenir:</w:t>
      </w:r>
    </w:p>
    <w:p>
      <w:pPr>
        <w:numPr>
          <w:ilvl w:val="0"/>
          <w:numId w:val="1006"/>
        </w:numPr>
        <w:pStyle w:val="Compact"/>
      </w:pPr>
      <w:r>
        <w:t xml:space="preserve">Tehlikeyi ortadan kaldırma (tasarım aşaması dahil — mimari tasarımda yapım, kullanım ve bakım sırasındaki riskleri azaltma).</w:t>
      </w:r>
    </w:p>
    <w:p>
      <w:pPr>
        <w:numPr>
          <w:ilvl w:val="0"/>
          <w:numId w:val="1006"/>
        </w:numPr>
        <w:pStyle w:val="Compact"/>
      </w:pPr>
      <w:r>
        <w:t xml:space="preserve">Daha az tehlikeli süreç, malzeme veya ekipmanla değiştirme.</w:t>
      </w:r>
    </w:p>
    <w:p>
      <w:pPr>
        <w:numPr>
          <w:ilvl w:val="0"/>
          <w:numId w:val="1006"/>
        </w:numPr>
        <w:pStyle w:val="Compact"/>
      </w:pPr>
      <w:r>
        <w:t xml:space="preserve">Mühendislik kontrolleri ve iş organizasyonunun yeniden düzenlenmesi.</w:t>
      </w:r>
    </w:p>
    <w:p>
      <w:pPr>
        <w:numPr>
          <w:ilvl w:val="0"/>
          <w:numId w:val="1006"/>
        </w:numPr>
        <w:pStyle w:val="Compact"/>
      </w:pPr>
      <w:r>
        <w:t xml:space="preserve">İşaretler, uyarılar, eğitim ve diğer idari kontroller.</w:t>
      </w:r>
    </w:p>
    <w:p>
      <w:pPr>
        <w:numPr>
          <w:ilvl w:val="0"/>
          <w:numId w:val="1006"/>
        </w:numPr>
        <w:pStyle w:val="Compact"/>
      </w:pPr>
      <w:r>
        <w:t xml:space="preserve">Kişisel koruyucu donanım (KKD).</w:t>
      </w:r>
    </w:p>
    <w:p>
      <w:pPr>
        <w:pStyle w:val="FirstParagraph"/>
      </w:pPr>
      <w:r>
        <w:t xml:space="preserve">KKD gerektiren riskler vücut bölgelerine göre KKD Risk Belirleme Tablosu (F.10.01) ile belirlenir; birim ve proje bazında kullanılacak KKD, KKD Takip Planı (F.10.02) ile tanımlanır ve KKD Teslim Formu (F.10.03) ile ücretsiz olarak teslim edilir. Ofis çalışmasında ekranlı araç, oturma düzeni ve aydınlatma gibi ergonomik riskler de bu süreçte değerlendirilir.</w:t>
      </w:r>
    </w:p>
    <w:bookmarkEnd w:id="31"/>
    <w:bookmarkStart w:id="32" w:name="yasal-ve-diğer-şartlar"/>
    <w:p>
      <w:pPr>
        <w:pStyle w:val="Heading4"/>
      </w:pPr>
      <w:r>
        <w:t xml:space="preserve">6.3 Yasal ve diğer şartlar</w:t>
      </w:r>
    </w:p>
    <w:p>
      <w:pPr>
        <w:pStyle w:val="FirstParagraph"/>
      </w:pPr>
      <w:r>
        <w:t xml:space="preserve">SP Architects kendisine uygulanabilir yasal ve diğer İSG şartlarını (ISO 45001:2018, UNGC taahhütleri, müşteri ve proje şartnamelerindeki İSG hükümleri) belirler ve İSG Mevzuat Bilgi ve Uygunluk Kontrol Formu (F.10.08) ile kaydeder. YT mevzuat değişikliklerini resmi kaynaklardan (www.mevzuat.gov.tr) izler, değişiklikleri sisteme yansıtır ve çalışanları ile ilgili tarafları bilgilendirir.</w:t>
      </w:r>
    </w:p>
    <w:bookmarkEnd w:id="32"/>
    <w:bookmarkStart w:id="33" w:name="hedefler-ve-programlar"/>
    <w:p>
      <w:pPr>
        <w:pStyle w:val="Heading4"/>
      </w:pPr>
      <w:r>
        <w:t xml:space="preserve">6.4 Hedefler ve programlar</w:t>
      </w:r>
    </w:p>
    <w:p>
      <w:pPr>
        <w:pStyle w:val="FirstParagraph"/>
      </w:pPr>
      <w:r>
        <w:t xml:space="preserve">Üst yönetim, Politika 7'ye bağlı, ölçülebilir İSG hedeflerini birim bazında belirler ve Hedef Takip Formu [kod] ile kaydeder. Hedeflerde teknolojik ve mali olanaklar, ilgili tarafların görüşleri, yasal şartlar ve İSG riskleri dikkate alınır. Formda her hedef için sorumlu birim, yetki, kaynaklar, araçlar ve takvim tanımlanır. Hedefler her YGG'de gözden geçirilir. Yıllık hedefler en az şu göstergeleri içerir: kayıp günlü kaza sayısı ve sıklık oranı, ramak kala bildirim sayısı, kişi başı İSG eğitim saati ve DÖF kapanma oranı.</w:t>
      </w:r>
    </w:p>
    <w:bookmarkEnd w:id="33"/>
    <w:bookmarkEnd w:id="34"/>
    <w:bookmarkStart w:id="39" w:name="destek"/>
    <w:p>
      <w:pPr>
        <w:pStyle w:val="Heading3"/>
      </w:pPr>
      <w:r>
        <w:t xml:space="preserve">7. Destek</w:t>
      </w:r>
    </w:p>
    <w:bookmarkStart w:id="35" w:name="kaynaklar"/>
    <w:p>
      <w:pPr>
        <w:pStyle w:val="Heading4"/>
      </w:pPr>
      <w:r>
        <w:t xml:space="preserve">7.1 Kaynaklar</w:t>
      </w:r>
    </w:p>
    <w:p>
      <w:pPr>
        <w:pStyle w:val="FirstParagraph"/>
      </w:pPr>
      <w:r>
        <w:t xml:space="preserve">Üst yönetim, İSG Yönetim Sistemi'nin kurulması, uygulanması ve geliştirilmesi için gerekli kaynakları (İSG uzmanı ve işyeri hekimi hizmeti, eğitim, KKD, ekipman, bütçe) sağlar.</w:t>
      </w:r>
    </w:p>
    <w:bookmarkEnd w:id="35"/>
    <w:bookmarkStart w:id="36" w:name="yetkinlik-eğitim-ve-farkındalık"/>
    <w:p>
      <w:pPr>
        <w:pStyle w:val="Heading4"/>
      </w:pPr>
      <w:r>
        <w:t xml:space="preserve">7.2 Yetkinlik, eğitim ve farkındalık</w:t>
      </w:r>
    </w:p>
    <w:p>
      <w:pPr>
        <w:pStyle w:val="FirstParagraph"/>
      </w:pPr>
      <w:r>
        <w:t xml:space="preserve">SP Architects, İSG'yi etkileyebilecek görevleri yapan herkesin uygun eğitim, öğretim veya deneyimle yetkin olmasını sağlar. Eğitim ihtiyaçları risk değerlendirmesi ve görev tanımlarına göre belirlenir, yıllık eğitim planı hazırlanır ve uygulanır; eğitimler 6331 sayılı Kanun ve Çalışanların İş Sağlığı ve Güvenliği Eğitimlerinin Usul ve Esasları Yönetmeliği'ne uygun olarak, çalışma saatleri içinde ve çalışana maliyet yansıtılmadan verilir. Eğitimin etkinliği değerlendirilir; katılımcı, saat ve cinsiyet bilgilerini içeren kayıtlar özlük dosyalarında saklanır. Çalışanlar şu konularda bilinçlendirilir:</w:t>
      </w:r>
    </w:p>
    <w:p>
      <w:pPr>
        <w:numPr>
          <w:ilvl w:val="0"/>
          <w:numId w:val="1007"/>
        </w:numPr>
        <w:pStyle w:val="Compact"/>
      </w:pPr>
      <w:r>
        <w:t xml:space="preserve">faaliyetlerinin ve davranışlarının İSG üzerindeki sonuçları;</w:t>
      </w:r>
    </w:p>
    <w:p>
      <w:pPr>
        <w:numPr>
          <w:ilvl w:val="0"/>
          <w:numId w:val="1007"/>
        </w:numPr>
        <w:pStyle w:val="Compact"/>
      </w:pPr>
      <w:r>
        <w:t xml:space="preserve">acil durumlara hazırlık ve müdahale;</w:t>
      </w:r>
    </w:p>
    <w:p>
      <w:pPr>
        <w:numPr>
          <w:ilvl w:val="0"/>
          <w:numId w:val="1007"/>
        </w:numPr>
        <w:pStyle w:val="Compact"/>
      </w:pPr>
      <w:r>
        <w:t xml:space="preserve">Politika 7, bu prosedür ve ilgili talimatlar;</w:t>
      </w:r>
    </w:p>
    <w:p>
      <w:pPr>
        <w:numPr>
          <w:ilvl w:val="0"/>
          <w:numId w:val="1007"/>
        </w:numPr>
        <w:pStyle w:val="Compact"/>
      </w:pPr>
      <w:r>
        <w:t xml:space="preserve">İSG Yönetim Sistemi'ndeki görev ve sorumlulukları;</w:t>
      </w:r>
    </w:p>
    <w:p>
      <w:pPr>
        <w:numPr>
          <w:ilvl w:val="0"/>
          <w:numId w:val="1007"/>
        </w:numPr>
        <w:pStyle w:val="Compact"/>
      </w:pPr>
      <w:r>
        <w:t xml:space="preserve">prosedürlerden sapmanın olası sonuçları;</w:t>
      </w:r>
    </w:p>
    <w:p>
      <w:pPr>
        <w:numPr>
          <w:ilvl w:val="0"/>
          <w:numId w:val="1007"/>
        </w:numPr>
        <w:pStyle w:val="Compact"/>
      </w:pPr>
      <w:r>
        <w:t xml:space="preserve">çalışmaktan kaçınma hakkı, ramak kala bildirimi ve Konuşma Hattı.</w:t>
      </w:r>
    </w:p>
    <w:p>
      <w:pPr>
        <w:pStyle w:val="FirstParagraph"/>
      </w:pPr>
      <w:r>
        <w:t xml:space="preserve">Eğitimler çalışanın sorumluluğu, yeteneği, bilgi düzeyi, dili ve yaptığı işin risk derecesi dikkate alınarak düzenlenir.</w:t>
      </w:r>
    </w:p>
    <w:bookmarkEnd w:id="36"/>
    <w:bookmarkStart w:id="37" w:name="iletişim"/>
    <w:p>
      <w:pPr>
        <w:pStyle w:val="Heading4"/>
      </w:pPr>
      <w:r>
        <w:t xml:space="preserve">7.3 İletişim</w:t>
      </w:r>
    </w:p>
    <w:p>
      <w:pPr>
        <w:pStyle w:val="FirstParagraph"/>
      </w:pPr>
      <w:r>
        <w:t xml:space="preserve">SP Architects, birimler arası iç iletişimi, yükleniciler ve ziyaretçilerle iletişimi ve dış ilgili taraflardan gelen İSG iletişiminin alınmasını, kaydedilmesini ve yanıtlanmasını sağlar. Dış iletişim kanalları açık tutulur ve YT tarafından takip edilir. Uygun olduğunda dış ilgili taraflara (ör. müşteri, şantiye koordinatörü, OSGB) danışılır.</w:t>
      </w:r>
    </w:p>
    <w:bookmarkEnd w:id="37"/>
    <w:bookmarkStart w:id="38" w:name="dokümante-bilgi"/>
    <w:p>
      <w:pPr>
        <w:pStyle w:val="Heading4"/>
      </w:pPr>
      <w:r>
        <w:t xml:space="preserve">7.4 Dokümante bilgi</w:t>
      </w:r>
    </w:p>
    <w:p>
      <w:pPr>
        <w:pStyle w:val="FirstParagraph"/>
      </w:pPr>
      <w:r>
        <w:t xml:space="preserve">İSG Yönetim Sistemi en az şu dokümanları içerir:</w:t>
      </w:r>
    </w:p>
    <w:p>
      <w:pPr>
        <w:numPr>
          <w:ilvl w:val="0"/>
          <w:numId w:val="1008"/>
        </w:numPr>
        <w:pStyle w:val="Compact"/>
      </w:pPr>
      <w:r>
        <w:t xml:space="preserve">Politika 7 — İş Sağlığı, Güvenliği ve Esenlik;</w:t>
      </w:r>
    </w:p>
    <w:p>
      <w:pPr>
        <w:numPr>
          <w:ilvl w:val="0"/>
          <w:numId w:val="1008"/>
        </w:numPr>
        <w:pStyle w:val="Compact"/>
      </w:pPr>
      <w:r>
        <w:t xml:space="preserve">İSG hedefleri (Hedef Takip Formu);</w:t>
      </w:r>
    </w:p>
    <w:p>
      <w:pPr>
        <w:numPr>
          <w:ilvl w:val="0"/>
          <w:numId w:val="1008"/>
        </w:numPr>
        <w:pStyle w:val="Compact"/>
      </w:pPr>
      <w:r>
        <w:t xml:space="preserve">İSG Yönetim Sistemi'nin kapsamı ve unsurları (bu prosedür, P.10);</w:t>
      </w:r>
    </w:p>
    <w:p>
      <w:pPr>
        <w:numPr>
          <w:ilvl w:val="0"/>
          <w:numId w:val="1008"/>
        </w:numPr>
        <w:pStyle w:val="Compact"/>
      </w:pPr>
      <w:r>
        <w:t xml:space="preserve">Doküman ve Kayıtların Kontrolü Prosedürü (P.01) — doküman, kayıt ve yasal şart takibi;</w:t>
      </w:r>
    </w:p>
    <w:p>
      <w:pPr>
        <w:numPr>
          <w:ilvl w:val="0"/>
          <w:numId w:val="1008"/>
        </w:numPr>
        <w:pStyle w:val="Compact"/>
      </w:pPr>
      <w:r>
        <w:t xml:space="preserve">Düzeltici ve Önleyici Faaliyet Prosedürü (P.03) ve DÖF Formu (EK-4) — uygunsuzluk ve olay takibi;</w:t>
      </w:r>
    </w:p>
    <w:p>
      <w:pPr>
        <w:numPr>
          <w:ilvl w:val="0"/>
          <w:numId w:val="1008"/>
        </w:numPr>
        <w:pStyle w:val="Compact"/>
      </w:pPr>
      <w:r>
        <w:t xml:space="preserve">İç Tetkik Prosedürü (P.04);</w:t>
      </w:r>
    </w:p>
    <w:p>
      <w:pPr>
        <w:numPr>
          <w:ilvl w:val="0"/>
          <w:numId w:val="1008"/>
        </w:numPr>
        <w:pStyle w:val="Compact"/>
      </w:pPr>
      <w:r>
        <w:t xml:space="preserve">İş Kazası ve Meslek Hastalığı Prosedürü (EK-2) — olayların kaydı, araştırılması ve analizi;</w:t>
      </w:r>
    </w:p>
    <w:p>
      <w:pPr>
        <w:numPr>
          <w:ilvl w:val="0"/>
          <w:numId w:val="1008"/>
        </w:numPr>
        <w:pStyle w:val="Compact"/>
      </w:pPr>
      <w:r>
        <w:t xml:space="preserve">Acil Eylem Planı (F.10.09);</w:t>
      </w:r>
    </w:p>
    <w:p>
      <w:pPr>
        <w:numPr>
          <w:ilvl w:val="0"/>
          <w:numId w:val="1008"/>
        </w:numPr>
        <w:pStyle w:val="Compact"/>
      </w:pPr>
      <w:r>
        <w:t xml:space="preserve">İSG Tehlike Tanımlama ve Risk Analiz Formu (F.10.04);</w:t>
      </w:r>
    </w:p>
    <w:p>
      <w:pPr>
        <w:numPr>
          <w:ilvl w:val="0"/>
          <w:numId w:val="1008"/>
        </w:numPr>
        <w:pStyle w:val="Compact"/>
      </w:pPr>
      <w:r>
        <w:t xml:space="preserve">İSG eğitim uygulamalarına ilişkin prosedür (Kurumsal Yönetim Prosedürü, P.06).</w:t>
      </w:r>
    </w:p>
    <w:p>
      <w:pPr>
        <w:pStyle w:val="FirstParagraph"/>
      </w:pPr>
      <w:r>
        <w:t xml:space="preserve">Dokümanlar P.01'e göre hazırlanır, onaylanır, dağıtılır, gerektiğinde revize edilir ve yeniden yayımlanır. Kayıtların saklanması, izlenebilirliği, erişilebilirliği ve arşivlenmesi de P.01'e göre yapılır; kişisel sağlık verileri Politika 10 — Kişisel Verilerin Korunması ve Bilgi Güvenliği'ne uygun olarak gizli tutulur.</w:t>
      </w:r>
    </w:p>
    <w:bookmarkEnd w:id="38"/>
    <w:bookmarkEnd w:id="39"/>
    <w:bookmarkStart w:id="44" w:name="operasyon"/>
    <w:p>
      <w:pPr>
        <w:pStyle w:val="Heading3"/>
      </w:pPr>
      <w:r>
        <w:t xml:space="preserve">8. Operasyon</w:t>
      </w:r>
    </w:p>
    <w:bookmarkStart w:id="40" w:name="operasyonel-planlama-ve-kontrol"/>
    <w:p>
      <w:pPr>
        <w:pStyle w:val="Heading4"/>
      </w:pPr>
      <w:r>
        <w:t xml:space="preserve">8.1 Operasyonel planlama ve kontrol</w:t>
      </w:r>
    </w:p>
    <w:p>
      <w:pPr>
        <w:pStyle w:val="FirstParagraph"/>
      </w:pPr>
      <w:r>
        <w:t xml:space="preserve">Risk değerlendirmesinde kontrol gerektirdiği belirlenen faaliyetler için çalışma talimatları hazırlanır ve uygulanır; yapılan kontroller İSG Faaliyet Kontrol Formu (F.10.05) ile kaydedilir. Bakım faaliyetleri, araç kullanımı ve sürücüler, saha ziyaretleri ve şantiye işleri için tehlikeleri oluşmadan önleyen ve riskleri kaynağında ortadan kaldıran uygulama esasları tanımlanır. Çalışanların sağlık gözetimi işyeri hekimi tarafından yapılır ve İSG Personel Muayene Takip Listesi (F.10.06) ile izlenir.</w:t>
      </w:r>
    </w:p>
    <w:bookmarkEnd w:id="40"/>
    <w:bookmarkStart w:id="41" w:name="değişikliğin-yönetimi"/>
    <w:p>
      <w:pPr>
        <w:pStyle w:val="Heading4"/>
      </w:pPr>
      <w:r>
        <w:t xml:space="preserve">8.2 Değişikliğin yönetimi</w:t>
      </w:r>
    </w:p>
    <w:p>
      <w:pPr>
        <w:pStyle w:val="FirstParagraph"/>
      </w:pPr>
      <w:r>
        <w:t xml:space="preserve">Yeni ofis, şantiye, ekipman, malzeme, süreç veya iş organizasyonu değişikliklerinde mevcut tehlike ve risk analizleri değişiklik uygulanmadan önce gözden geçirilir ve çalışanlara danışılır.</w:t>
      </w:r>
    </w:p>
    <w:bookmarkEnd w:id="41"/>
    <w:bookmarkStart w:id="42" w:name="Xd05d9afa0ec9493f03316ed96afcdd04c65adc3"/>
    <w:p>
      <w:pPr>
        <w:pStyle w:val="Heading4"/>
      </w:pPr>
      <w:r>
        <w:t xml:space="preserve">8.3 Satın alma, yükleniciler ve dış kaynak kullanımı</w:t>
      </w:r>
    </w:p>
    <w:p>
      <w:pPr>
        <w:pStyle w:val="FirstParagraph"/>
      </w:pPr>
      <w:r>
        <w:t xml:space="preserve">Satın alınan ürün ve hizmetlerin İSG şartları Politika 2 — Sürdürülebilir Satın Alma Politikası'na göre belirlenir. Yükleniciler, alt yükleniciler seçilirken ve iş süresince Politika 8 — Tedarikçi ve Alt Yüklenici Davranış Kuralları'na ve SP Architects'in İSG şartlarına uyumları değerlendirilir; işe başlamadan önce sahaya özgü riskler ve kurallar kendilerine bildirilir, ortak alanlarda faaliyetler koordine edilir. SP Architects, İSG uygulamalarını tedarik zinciri boyunca yaygınlaştırmayı hedefler.</w:t>
      </w:r>
    </w:p>
    <w:bookmarkEnd w:id="42"/>
    <w:bookmarkStart w:id="43" w:name="acil-durumlara-hazırlık-ve-müdahale"/>
    <w:p>
      <w:pPr>
        <w:pStyle w:val="Heading4"/>
      </w:pPr>
      <w:r>
        <w:t xml:space="preserve">8.4 Acil durumlara hazırlık ve müdahale</w:t>
      </w:r>
    </w:p>
    <w:p>
      <w:pPr>
        <w:pStyle w:val="FirstParagraph"/>
      </w:pPr>
      <w:r>
        <w:t xml:space="preserve">Olası acil durumlar (yangın, deprem, sel, patlama, ilk yardım gerektiren olaylar, tahliye), oluşma olasılıkları, yapılacaklar ve sorumlular Acil Eylem Planı (F.10.09) ile belirlenir. Plan; destek elemanları, tatbikatlar ve engelli çalışanlar ile ziyaretçilerin tahliyesi dahil olmak üzere her ofis ve şantiye için ayrı ayrı uygulanır ve düzenli olarak test edilir.</w:t>
      </w:r>
    </w:p>
    <w:bookmarkEnd w:id="43"/>
    <w:bookmarkEnd w:id="44"/>
    <w:bookmarkStart w:id="49" w:name="performans-değerlendirme"/>
    <w:p>
      <w:pPr>
        <w:pStyle w:val="Heading3"/>
      </w:pPr>
      <w:r>
        <w:t xml:space="preserve">9. Performans Değerlendirme</w:t>
      </w:r>
    </w:p>
    <w:bookmarkStart w:id="45" w:name="izleme-ve-ölçme"/>
    <w:p>
      <w:pPr>
        <w:pStyle w:val="Heading4"/>
      </w:pPr>
      <w:r>
        <w:t xml:space="preserve">9.1 İzleme ve ölçme</w:t>
      </w:r>
    </w:p>
    <w:p>
      <w:pPr>
        <w:pStyle w:val="FirstParagraph"/>
      </w:pPr>
      <w:r>
        <w:t xml:space="preserve">İSG performansı aşağıdaki yollarla sürekli izlenir ve sonuçlar YT tarafından YGG'de üst yönetime raporlanır:</w:t>
      </w:r>
    </w:p>
    <w:p>
      <w:pPr>
        <w:numPr>
          <w:ilvl w:val="0"/>
          <w:numId w:val="1009"/>
        </w:numPr>
        <w:pStyle w:val="Compact"/>
      </w:pPr>
      <w:r>
        <w:t xml:space="preserve">İSG hedeflerinin gerçekleşmesi (Hedef Takip Formu);</w:t>
      </w:r>
    </w:p>
    <w:p>
      <w:pPr>
        <w:numPr>
          <w:ilvl w:val="0"/>
          <w:numId w:val="1009"/>
        </w:numPr>
        <w:pStyle w:val="Compact"/>
      </w:pPr>
      <w:r>
        <w:t xml:space="preserve">işletme kontrolleri (İSG Faaliyet Kontrol Formu, F.10.05);</w:t>
      </w:r>
    </w:p>
    <w:p>
      <w:pPr>
        <w:numPr>
          <w:ilvl w:val="0"/>
          <w:numId w:val="1009"/>
        </w:numPr>
        <w:pStyle w:val="Compact"/>
      </w:pPr>
      <w:r>
        <w:t xml:space="preserve">iç tetkik raporları (İç Tetkik Raporu, F.04.03);</w:t>
      </w:r>
    </w:p>
    <w:p>
      <w:pPr>
        <w:numPr>
          <w:ilvl w:val="0"/>
          <w:numId w:val="1009"/>
        </w:numPr>
        <w:pStyle w:val="Compact"/>
      </w:pPr>
      <w:r>
        <w:t xml:space="preserve">yasal ve diğer şartlara uygunluk (F.10.08);</w:t>
      </w:r>
    </w:p>
    <w:p>
      <w:pPr>
        <w:numPr>
          <w:ilvl w:val="0"/>
          <w:numId w:val="1009"/>
        </w:numPr>
        <w:pStyle w:val="Compact"/>
      </w:pPr>
      <w:r>
        <w:t xml:space="preserve">iş kazaları, meslek hastalıkları, hasarlı olaylar ve ramak kalalar (İş Kazaları Takip Listesi, F.10.07; İş Kazası ve Meslek Hastalığı Prosedürü, EK-2);</w:t>
      </w:r>
    </w:p>
    <w:p>
      <w:pPr>
        <w:numPr>
          <w:ilvl w:val="0"/>
          <w:numId w:val="1009"/>
        </w:numPr>
        <w:pStyle w:val="Compact"/>
      </w:pPr>
      <w:r>
        <w:t xml:space="preserve">KKD teslimi ve kullanımı (KKD Teslim Formu, F.10.03);</w:t>
      </w:r>
    </w:p>
    <w:p>
      <w:pPr>
        <w:numPr>
          <w:ilvl w:val="0"/>
          <w:numId w:val="1009"/>
        </w:numPr>
        <w:pStyle w:val="Compact"/>
      </w:pPr>
      <w:r>
        <w:t xml:space="preserve">sağlık gözetimi sonuçları (F.10.06).</w:t>
      </w:r>
    </w:p>
    <w:p>
      <w:pPr>
        <w:pStyle w:val="FirstParagraph"/>
      </w:pPr>
      <w:r>
        <w:t xml:space="preserve">Kayıtlar DÖF analizini ve yıllık UNGC İlerleme Bildirimi (CoP) raporlamasını destekleyecek biçimde tutulur ve saklanır.</w:t>
      </w:r>
    </w:p>
    <w:bookmarkEnd w:id="45"/>
    <w:bookmarkStart w:id="46" w:name="uygunluğun-değerlendirilmesi"/>
    <w:p>
      <w:pPr>
        <w:pStyle w:val="Heading4"/>
      </w:pPr>
      <w:r>
        <w:t xml:space="preserve">9.2 Uygunluğun değerlendirilmesi</w:t>
      </w:r>
    </w:p>
    <w:p>
      <w:pPr>
        <w:pStyle w:val="FirstParagraph"/>
      </w:pPr>
      <w:r>
        <w:t xml:space="preserve">Yasal şartlara ve SP Architects'in uymayı taahhüt ettiği diğer şartlara uygunluk, F.10.08 ile periyodik olarak birlikte değerlendirilir. Değerlendirme sıklığı şartın niteliğine göre farklı belirlenebilir; sonuçlar YT tarafından saklanır ve uygunsuzluklar için DÖF başlatılır.</w:t>
      </w:r>
    </w:p>
    <w:bookmarkEnd w:id="46"/>
    <w:bookmarkStart w:id="47" w:name="iç-tetkik"/>
    <w:p>
      <w:pPr>
        <w:pStyle w:val="Heading4"/>
      </w:pPr>
      <w:r>
        <w:t xml:space="preserve">9.3 İç tetkik</w:t>
      </w:r>
    </w:p>
    <w:p>
      <w:pPr>
        <w:pStyle w:val="FirstParagraph"/>
      </w:pPr>
      <w:r>
        <w:t xml:space="preserve">İSG Yönetim Sistemi'nin ISO 45001:2018'e ve mevzuata uygunluğu, etkin uygulanması ve politika ile hedeflerin etkinliği İç Tetkik Prosedürü'ne (P.04) göre planlı aralıklarla tetkik edilir. Her tetkikte önceki tetkik sonuçları gözden geçirilir ve sonuçlar üst yönetime raporlanır.</w:t>
      </w:r>
    </w:p>
    <w:bookmarkEnd w:id="47"/>
    <w:bookmarkStart w:id="48" w:name="yönetimin-gözden-geçirmesi-ygg"/>
    <w:p>
      <w:pPr>
        <w:pStyle w:val="Heading4"/>
      </w:pPr>
      <w:r>
        <w:t xml:space="preserve">9.4 Yönetimin gözden geçirmesi (YGG)</w:t>
      </w:r>
    </w:p>
    <w:p>
      <w:pPr>
        <w:pStyle w:val="FirstParagraph"/>
      </w:pPr>
      <w:r>
        <w:t xml:space="preserve">Üst yönetim, İSG Yönetim Sistemi'nin uygunluğunu, yeterliliğini ve etkinliğini en az yılda bir kez YGG toplantısında gözden geçirir ve Yönetimin Gözden Geçirme Toplantı Tutanağı ile kaydeder. Gündemde en az şunlar yer alır: önceki kararların durumu, bağlam ve ilgili taraf beklentilerindeki değişiklikler, hedeflerin gerçekleşmesi, olay ve ramak kala istatistikleri, tetkik ve uygunluk sonuçları, çalışan danışma ve katılımından gelen girdiler, kaynak ihtiyaçları ve iyileştirme fırsatları.</w:t>
      </w:r>
    </w:p>
    <w:bookmarkEnd w:id="48"/>
    <w:bookmarkEnd w:id="49"/>
    <w:bookmarkStart w:id="53" w:name="iyileştirme"/>
    <w:p>
      <w:pPr>
        <w:pStyle w:val="Heading3"/>
      </w:pPr>
      <w:r>
        <w:t xml:space="preserve">10. İyileştirme</w:t>
      </w:r>
    </w:p>
    <w:bookmarkStart w:id="50" w:name="olay-araştırması"/>
    <w:p>
      <w:pPr>
        <w:pStyle w:val="Heading4"/>
      </w:pPr>
      <w:r>
        <w:t xml:space="preserve">10.1 Olay araştırması</w:t>
      </w:r>
    </w:p>
    <w:p>
      <w:pPr>
        <w:pStyle w:val="FirstParagraph"/>
      </w:pPr>
      <w:r>
        <w:t xml:space="preserve">İş kazaları, meslek hastalıkları ve ramak kalalar İş Kazası ve Meslek Hastalığı Prosedürü (EK-2) uyarınca kaydedilir, araştırılır ve analiz edilir. Araştırmanın amacı suçlu bulmak değil;</w:t>
      </w:r>
    </w:p>
    <w:p>
      <w:pPr>
        <w:numPr>
          <w:ilvl w:val="0"/>
          <w:numId w:val="1010"/>
        </w:numPr>
        <w:pStyle w:val="Compact"/>
      </w:pPr>
      <w:r>
        <w:t xml:space="preserve">olaya yol açan veya katkıda bulunan İSG eksikliklerini ve diğer kök nedenleri belirlemek,</w:t>
      </w:r>
    </w:p>
    <w:p>
      <w:pPr>
        <w:numPr>
          <w:ilvl w:val="0"/>
          <w:numId w:val="1010"/>
        </w:numPr>
        <w:pStyle w:val="Compact"/>
      </w:pPr>
      <w:r>
        <w:t xml:space="preserve">düzeltici faaliyet ihtiyacını ve önleyici faaliyet fırsatlarını tespit etmek,</w:t>
      </w:r>
    </w:p>
    <w:p>
      <w:pPr>
        <w:numPr>
          <w:ilvl w:val="0"/>
          <w:numId w:val="1010"/>
        </w:numPr>
        <w:pStyle w:val="Compact"/>
      </w:pPr>
      <w:r>
        <w:t xml:space="preserve">sürekli iyileştirme fırsatlarını belirlemek,</w:t>
      </w:r>
    </w:p>
    <w:p>
      <w:pPr>
        <w:numPr>
          <w:ilvl w:val="0"/>
          <w:numId w:val="1010"/>
        </w:numPr>
        <w:pStyle w:val="Compact"/>
      </w:pPr>
      <w:r>
        <w:t xml:space="preserve">öğrenilen dersleri çalışanlarla paylaşmaktır.</w:t>
      </w:r>
    </w:p>
    <w:p>
      <w:pPr>
        <w:pStyle w:val="FirstParagraph"/>
      </w:pPr>
      <w:r>
        <w:t xml:space="preserve">Araştırmanın zamanında yapılmasından ilgili birim yöneticisi sorumludur; araştırmaya İSG uzmanı ve çalışan temsilcisi katılır.</w:t>
      </w:r>
    </w:p>
    <w:bookmarkEnd w:id="50"/>
    <w:bookmarkStart w:id="51" w:name="uygunsuzluk-ve-düzeltici-faaliyet"/>
    <w:p>
      <w:pPr>
        <w:pStyle w:val="Heading4"/>
      </w:pPr>
      <w:r>
        <w:t xml:space="preserve">10.2 Uygunsuzluk ve düzeltici faaliyet</w:t>
      </w:r>
    </w:p>
    <w:p>
      <w:pPr>
        <w:pStyle w:val="FirstParagraph"/>
      </w:pPr>
      <w:r>
        <w:t xml:space="preserve">Gerçek ve potansiyel uygunsuzluklar Düzeltici ve Önleyici Faaliyet Prosedürü (P.03) ve DÖF Formu (EK-4) ile yönetilir:</w:t>
      </w:r>
    </w:p>
    <w:p>
      <w:pPr>
        <w:numPr>
          <w:ilvl w:val="0"/>
          <w:numId w:val="1011"/>
        </w:numPr>
        <w:pStyle w:val="Compact"/>
      </w:pPr>
      <w:r>
        <w:t xml:space="preserve">Uygunsuzluk belirlenir ve İSG üzerindeki etkisini azaltacak acil tedbir alınır.</w:t>
      </w:r>
    </w:p>
    <w:p>
      <w:pPr>
        <w:numPr>
          <w:ilvl w:val="0"/>
          <w:numId w:val="1011"/>
        </w:numPr>
        <w:pStyle w:val="Compact"/>
      </w:pPr>
      <w:r>
        <w:t xml:space="preserve">Kök neden araştırılır ve tekrarını önleyecek tedbir planlanır.</w:t>
      </w:r>
    </w:p>
    <w:p>
      <w:pPr>
        <w:numPr>
          <w:ilvl w:val="0"/>
          <w:numId w:val="1011"/>
        </w:numPr>
        <w:pStyle w:val="Compact"/>
      </w:pPr>
      <w:r>
        <w:t xml:space="preserve">Önerilen faaliyet yeni bir tehlike yaratıyorsa, uygulanmadan önce risk değerlendirmesinden geçirilir.</w:t>
      </w:r>
    </w:p>
    <w:p>
      <w:pPr>
        <w:numPr>
          <w:ilvl w:val="0"/>
          <w:numId w:val="1011"/>
        </w:numPr>
        <w:pStyle w:val="Compact"/>
      </w:pPr>
      <w:r>
        <w:t xml:space="preserve">Faaliyet, sorunun büyüklüğü ve İSG riskiyle orantılı olarak uygulanır.</w:t>
      </w:r>
    </w:p>
    <w:p>
      <w:pPr>
        <w:numPr>
          <w:ilvl w:val="0"/>
          <w:numId w:val="1011"/>
        </w:numPr>
        <w:pStyle w:val="Compact"/>
      </w:pPr>
      <w:r>
        <w:t xml:space="preserve">Sonuçlar kaydedilir, ilgili kişilere ve çalışan temsilcisine iletilir.</w:t>
      </w:r>
    </w:p>
    <w:p>
      <w:pPr>
        <w:numPr>
          <w:ilvl w:val="0"/>
          <w:numId w:val="1011"/>
        </w:numPr>
        <w:pStyle w:val="Compact"/>
      </w:pPr>
      <w:r>
        <w:t xml:space="preserve">Faaliyetin etkinliği gözden geçirilir; gerekli değişiklikler İSG dokümantasyonuna yansıtılır.</w:t>
      </w:r>
    </w:p>
    <w:bookmarkEnd w:id="51"/>
    <w:bookmarkStart w:id="52" w:name="sürekli-iyileştirme"/>
    <w:p>
      <w:pPr>
        <w:pStyle w:val="Heading4"/>
      </w:pPr>
      <w:r>
        <w:t xml:space="preserve">10.3 Sürekli iyileştirme</w:t>
      </w:r>
    </w:p>
    <w:p>
      <w:pPr>
        <w:pStyle w:val="FirstParagraph"/>
      </w:pPr>
      <w:r>
        <w:t xml:space="preserve">SP Architects; politika, hedefler, tetkik sonuçları, olay analizleri, DÖF'ler, çalışan önerileri ve YGG kararları aracılığıyla İSG performansını sürekli iyileştirir ve sonuçları UNGC CoP raporunda kamuoyuyla paylaşır.</w:t>
      </w:r>
    </w:p>
    <w:bookmarkEnd w:id="52"/>
    <w:bookmarkEnd w:id="53"/>
    <w:bookmarkStart w:id="54" w:name="ilgili-dokümanlar-ve-formlar"/>
    <w:p>
      <w:pPr>
        <w:pStyle w:val="Heading3"/>
      </w:pPr>
      <w:r>
        <w:t xml:space="preserve">11. İlgili Dokümanlar ve Formlar</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Doküman / Form</w:t>
            </w:r>
          </w:p>
        </w:tc>
        <w:tc>
          <w:tcPr/>
          <w:p>
            <w:pPr>
              <w:pStyle w:val="Compact"/>
              <w:jc w:val="left"/>
            </w:pPr>
            <w:r>
              <w:rPr>
                <w:b/>
              </w:rPr>
              <w:t xml:space="preserve">Kod</w:t>
            </w:r>
          </w:p>
        </w:tc>
      </w:tr>
      <w:tr>
        <w:tc>
          <w:tcPr/>
          <w:p>
            <w:pPr>
              <w:pStyle w:val="Compact"/>
              <w:jc w:val="left"/>
            </w:pPr>
            <w:r>
              <w:t xml:space="preserve">KKD Risk Belirleme Tablosu</w:t>
            </w:r>
          </w:p>
        </w:tc>
        <w:tc>
          <w:tcPr/>
          <w:p>
            <w:pPr>
              <w:pStyle w:val="Compact"/>
              <w:jc w:val="left"/>
            </w:pPr>
            <w:r>
              <w:t xml:space="preserve">F.10.01</w:t>
            </w:r>
          </w:p>
        </w:tc>
      </w:tr>
      <w:tr>
        <w:tc>
          <w:tcPr/>
          <w:p>
            <w:pPr>
              <w:pStyle w:val="Compact"/>
              <w:jc w:val="left"/>
            </w:pPr>
            <w:r>
              <w:t xml:space="preserve">KKD Takip Planı</w:t>
            </w:r>
          </w:p>
        </w:tc>
        <w:tc>
          <w:tcPr/>
          <w:p>
            <w:pPr>
              <w:pStyle w:val="Compact"/>
              <w:jc w:val="left"/>
            </w:pPr>
            <w:r>
              <w:t xml:space="preserve">F.10.02</w:t>
            </w:r>
          </w:p>
        </w:tc>
      </w:tr>
      <w:tr>
        <w:tc>
          <w:tcPr/>
          <w:p>
            <w:pPr>
              <w:pStyle w:val="Compact"/>
              <w:jc w:val="left"/>
            </w:pPr>
            <w:r>
              <w:t xml:space="preserve">KKD Teslim Formu</w:t>
            </w:r>
          </w:p>
        </w:tc>
        <w:tc>
          <w:tcPr/>
          <w:p>
            <w:pPr>
              <w:pStyle w:val="Compact"/>
              <w:jc w:val="left"/>
            </w:pPr>
            <w:r>
              <w:t xml:space="preserve">F.10.03</w:t>
            </w:r>
          </w:p>
        </w:tc>
      </w:tr>
      <w:tr>
        <w:tc>
          <w:tcPr/>
          <w:p>
            <w:pPr>
              <w:pStyle w:val="Compact"/>
              <w:jc w:val="left"/>
            </w:pPr>
            <w:r>
              <w:t xml:space="preserve">İSG Tehlike Tanımlama ve Risk Analiz Formu</w:t>
            </w:r>
          </w:p>
        </w:tc>
        <w:tc>
          <w:tcPr/>
          <w:p>
            <w:pPr>
              <w:pStyle w:val="Compact"/>
              <w:jc w:val="left"/>
            </w:pPr>
            <w:r>
              <w:t xml:space="preserve">F.10.04</w:t>
            </w:r>
          </w:p>
        </w:tc>
      </w:tr>
      <w:tr>
        <w:tc>
          <w:tcPr/>
          <w:p>
            <w:pPr>
              <w:pStyle w:val="Compact"/>
              <w:jc w:val="left"/>
            </w:pPr>
            <w:r>
              <w:t xml:space="preserve">İSG Faaliyet Kontrol Formu</w:t>
            </w:r>
          </w:p>
        </w:tc>
        <w:tc>
          <w:tcPr/>
          <w:p>
            <w:pPr>
              <w:pStyle w:val="Compact"/>
              <w:jc w:val="left"/>
            </w:pPr>
            <w:r>
              <w:t xml:space="preserve">F.10.05</w:t>
            </w:r>
          </w:p>
        </w:tc>
      </w:tr>
      <w:tr>
        <w:tc>
          <w:tcPr/>
          <w:p>
            <w:pPr>
              <w:pStyle w:val="Compact"/>
              <w:jc w:val="left"/>
            </w:pPr>
            <w:r>
              <w:t xml:space="preserve">İSG Personel Muayene Takip Listesi</w:t>
            </w:r>
          </w:p>
        </w:tc>
        <w:tc>
          <w:tcPr/>
          <w:p>
            <w:pPr>
              <w:pStyle w:val="Compact"/>
              <w:jc w:val="left"/>
            </w:pPr>
            <w:r>
              <w:t xml:space="preserve">F.10.06</w:t>
            </w:r>
          </w:p>
        </w:tc>
      </w:tr>
      <w:tr>
        <w:tc>
          <w:tcPr/>
          <w:p>
            <w:pPr>
              <w:pStyle w:val="Compact"/>
              <w:jc w:val="left"/>
            </w:pPr>
            <w:r>
              <w:t xml:space="preserve">İş Kazaları Takip Listesi</w:t>
            </w:r>
          </w:p>
        </w:tc>
        <w:tc>
          <w:tcPr/>
          <w:p>
            <w:pPr>
              <w:pStyle w:val="Compact"/>
              <w:jc w:val="left"/>
            </w:pPr>
            <w:r>
              <w:t xml:space="preserve">F.10.07</w:t>
            </w:r>
          </w:p>
        </w:tc>
      </w:tr>
      <w:tr>
        <w:tc>
          <w:tcPr/>
          <w:p>
            <w:pPr>
              <w:pStyle w:val="Compact"/>
              <w:jc w:val="left"/>
            </w:pPr>
            <w:r>
              <w:t xml:space="preserve">İSG Mevzuat Bilgi ve Uygunluk Kontrol Formu</w:t>
            </w:r>
          </w:p>
        </w:tc>
        <w:tc>
          <w:tcPr/>
          <w:p>
            <w:pPr>
              <w:pStyle w:val="Compact"/>
              <w:jc w:val="left"/>
            </w:pPr>
            <w:r>
              <w:t xml:space="preserve">F.10.08</w:t>
            </w:r>
          </w:p>
        </w:tc>
      </w:tr>
      <w:tr>
        <w:tc>
          <w:tcPr/>
          <w:p>
            <w:pPr>
              <w:pStyle w:val="Compact"/>
              <w:jc w:val="left"/>
            </w:pPr>
            <w:r>
              <w:t xml:space="preserve">Acil Eylem Planı</w:t>
            </w:r>
          </w:p>
        </w:tc>
        <w:tc>
          <w:tcPr/>
          <w:p>
            <w:pPr>
              <w:pStyle w:val="Compact"/>
              <w:jc w:val="left"/>
            </w:pPr>
            <w:r>
              <w:t xml:space="preserve">F.10.09</w:t>
            </w:r>
          </w:p>
        </w:tc>
      </w:tr>
      <w:tr>
        <w:tc>
          <w:tcPr/>
          <w:p>
            <w:pPr>
              <w:pStyle w:val="Compact"/>
              <w:jc w:val="left"/>
            </w:pPr>
            <w:r>
              <w:t xml:space="preserve">Hedef Takip Formu</w:t>
            </w:r>
          </w:p>
        </w:tc>
        <w:tc>
          <w:tcPr/>
          <w:p>
            <w:pPr>
              <w:pStyle w:val="Compact"/>
              <w:jc w:val="left"/>
            </w:pPr>
            <w:r>
              <w:t xml:space="preserve">[kod]</w:t>
            </w:r>
          </w:p>
        </w:tc>
      </w:tr>
      <w:tr>
        <w:tc>
          <w:tcPr/>
          <w:p>
            <w:pPr>
              <w:pStyle w:val="Compact"/>
              <w:jc w:val="left"/>
            </w:pPr>
            <w:r>
              <w:t xml:space="preserve">İç Tetkik Raporu</w:t>
            </w:r>
          </w:p>
        </w:tc>
        <w:tc>
          <w:tcPr/>
          <w:p>
            <w:pPr>
              <w:pStyle w:val="Compact"/>
              <w:jc w:val="left"/>
            </w:pPr>
            <w:r>
              <w:t xml:space="preserve">F.04.03</w:t>
            </w:r>
          </w:p>
        </w:tc>
      </w:tr>
      <w:tr>
        <w:tc>
          <w:tcPr/>
          <w:p>
            <w:pPr>
              <w:pStyle w:val="Compact"/>
              <w:jc w:val="left"/>
            </w:pPr>
            <w:r>
              <w:t xml:space="preserve">Doküman ve Kayıtların Kontrolü Prosedürü</w:t>
            </w:r>
          </w:p>
        </w:tc>
        <w:tc>
          <w:tcPr/>
          <w:p>
            <w:pPr>
              <w:pStyle w:val="Compact"/>
              <w:jc w:val="left"/>
            </w:pPr>
            <w:r>
              <w:t xml:space="preserve">P.01</w:t>
            </w:r>
          </w:p>
        </w:tc>
      </w:tr>
      <w:tr>
        <w:tc>
          <w:tcPr/>
          <w:p>
            <w:pPr>
              <w:pStyle w:val="Compact"/>
              <w:jc w:val="left"/>
            </w:pPr>
            <w:r>
              <w:t xml:space="preserve">Düzeltici ve Önleyici Faaliyet Prosedürü</w:t>
            </w:r>
          </w:p>
        </w:tc>
        <w:tc>
          <w:tcPr/>
          <w:p>
            <w:pPr>
              <w:pStyle w:val="Compact"/>
              <w:jc w:val="left"/>
            </w:pPr>
            <w:r>
              <w:t xml:space="preserve">P.03</w:t>
            </w:r>
          </w:p>
        </w:tc>
      </w:tr>
      <w:tr>
        <w:tc>
          <w:tcPr/>
          <w:p>
            <w:pPr>
              <w:pStyle w:val="Compact"/>
              <w:jc w:val="left"/>
            </w:pPr>
            <w:r>
              <w:t xml:space="preserve">İç Tetkik Prosedürü</w:t>
            </w:r>
          </w:p>
        </w:tc>
        <w:tc>
          <w:tcPr/>
          <w:p>
            <w:pPr>
              <w:pStyle w:val="Compact"/>
              <w:jc w:val="left"/>
            </w:pPr>
            <w:r>
              <w:t xml:space="preserve">P.04</w:t>
            </w:r>
          </w:p>
        </w:tc>
      </w:tr>
      <w:tr>
        <w:tc>
          <w:tcPr/>
          <w:p>
            <w:pPr>
              <w:pStyle w:val="Compact"/>
              <w:jc w:val="left"/>
            </w:pPr>
            <w:r>
              <w:t xml:space="preserve">Kurumsal Yönetim Prosedürü</w:t>
            </w:r>
          </w:p>
        </w:tc>
        <w:tc>
          <w:tcPr/>
          <w:p>
            <w:pPr>
              <w:pStyle w:val="Compact"/>
              <w:jc w:val="left"/>
            </w:pPr>
            <w:r>
              <w:t xml:space="preserve">P.06</w:t>
            </w:r>
          </w:p>
        </w:tc>
      </w:tr>
      <w:tr>
        <w:tc>
          <w:tcPr/>
          <w:p>
            <w:pPr>
              <w:pStyle w:val="Compact"/>
              <w:jc w:val="left"/>
            </w:pPr>
            <w:r>
              <w:t xml:space="preserve">İş Kazası ve Meslek Hastalığı Prosedürü</w:t>
            </w:r>
          </w:p>
        </w:tc>
        <w:tc>
          <w:tcPr/>
          <w:p>
            <w:pPr>
              <w:pStyle w:val="Compact"/>
              <w:jc w:val="left"/>
            </w:pPr>
            <w:r>
              <w:t xml:space="preserve">EK-2</w:t>
            </w:r>
          </w:p>
        </w:tc>
      </w:tr>
      <w:tr>
        <w:tc>
          <w:tcPr/>
          <w:p>
            <w:pPr>
              <w:pStyle w:val="Compact"/>
              <w:jc w:val="left"/>
            </w:pPr>
            <w:r>
              <w:t xml:space="preserve">Düzeltici ve Önleyici Faaliyet Formu</w:t>
            </w:r>
          </w:p>
        </w:tc>
        <w:tc>
          <w:tcPr/>
          <w:p>
            <w:pPr>
              <w:pStyle w:val="Compact"/>
              <w:jc w:val="left"/>
            </w:pPr>
            <w:r>
              <w:t xml:space="preserve">EK-4</w:t>
            </w:r>
          </w:p>
        </w:tc>
      </w:tr>
    </w:tbl>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2640"/>
        <w:gridCol w:w="2640"/>
        <w:gridCol w:w="2640"/>
      </w:tblGrid>
      <w:tr>
        <w:trPr>
          <w:tblHeader w:val="true"/>
        </w:trPr>
        <w:tc>
          <w:tcPr/>
          <w:p>
            <w:pPr>
              <w:pStyle w:val="Compact"/>
              <w:jc w:val="left"/>
            </w:pPr>
            <w:r>
              <w:rPr>
                <w:b/>
              </w:rPr>
              <w:t xml:space="preserve">Yürürlük tarihi</w:t>
            </w:r>
          </w:p>
        </w:tc>
        <w:tc>
          <w:tcPr/>
          <w:p>
            <w:pPr>
              <w:pStyle w:val="Compact"/>
              <w:jc w:val="left"/>
            </w:pPr>
            <w:r>
              <w:rPr>
                <w:b/>
              </w:rPr>
              <w:t xml:space="preserve">Rev. No</w:t>
            </w:r>
          </w:p>
        </w:tc>
        <w:tc>
          <w:tcPr/>
          <w:p>
            <w:pPr>
              <w:pStyle w:val="Compact"/>
              <w:jc w:val="left"/>
            </w:pPr>
            <w:r>
              <w:rPr>
                <w:b/>
              </w:rPr>
              <w:t xml:space="preserve">Onaylayan</w:t>
            </w:r>
          </w:p>
        </w:tc>
      </w:tr>
      <w:tr>
        <w:tc>
          <w:tcPr/>
          <w:p>
            <w:pPr>
              <w:pStyle w:val="Compact"/>
              <w:jc w:val="left"/>
            </w:pPr>
            <w:r>
              <w:t xml:space="preserve">[tarih]</w:t>
            </w:r>
          </w:p>
        </w:tc>
        <w:tc>
          <w:tcPr/>
          <w:p>
            <w:pPr>
              <w:pStyle w:val="Compact"/>
              <w:jc w:val="left"/>
            </w:pPr>
            <w:r>
              <w:t xml:space="preserve">[00]</w:t>
            </w:r>
          </w:p>
        </w:tc>
        <w:tc>
          <w:tcPr/>
          <w:p>
            <w:pPr>
              <w:pStyle w:val="Compact"/>
              <w:jc w:val="left"/>
            </w:pPr>
            <w:r>
              <w:t xml:space="preserve">Sabri Paşayiğit, Kurucu Ortak / Genel Müdür</w:t>
            </w:r>
          </w:p>
        </w:tc>
      </w:tr>
    </w:tbl>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İş Sağlığı ve Güvenliği Yönetim Sistemi Prosedürü</dc:title>
  <dc:creator/>
  <cp:keywords/>
  <dcterms:created xsi:type="dcterms:W3CDTF">2026-10-14T16:17:17Z</dcterms:created>
  <dcterms:modified xsi:type="dcterms:W3CDTF">2026-10-14T16:17:17Z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REM Mimarlık Dekorasyon Restorasyon Proje ve Taahhüt Hizmetleri Ltd. Şti. · Taslak 1.0 · Ekim 2026</vt:lpwstr>
  </property>
</Properties>
</file>