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Occupational</w:t>
      </w:r>
      <w:r>
        <w:t xml:space="preserve"> </w:t>
      </w:r>
      <w:r>
        <w:t xml:space="preserve">Health</w:t>
      </w:r>
      <w:r>
        <w:t xml:space="preserve"> </w:t>
      </w:r>
      <w:r>
        <w:t xml:space="preserve">and</w:t>
      </w:r>
      <w:r>
        <w:t xml:space="preserve"> </w:t>
      </w:r>
      <w:r>
        <w:t xml:space="preserve">Safety</w:t>
      </w:r>
      <w:r>
        <w:t xml:space="preserve"> </w:t>
      </w:r>
      <w:r>
        <w:t xml:space="preserve">Management</w:t>
      </w:r>
      <w:r>
        <w:t xml:space="preserve"> </w:t>
      </w:r>
      <w:r>
        <w:t xml:space="preserve">System</w:t>
      </w:r>
      <w:r>
        <w:t xml:space="preserve"> </w:t>
      </w:r>
      <w:r>
        <w:t xml:space="preserve">Procedure</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Draft</w:t>
      </w:r>
      <w:r>
        <w:t xml:space="preserve"> </w:t>
      </w:r>
      <w:r>
        <w:t xml:space="preserve">1.0</w:t>
      </w:r>
      <w:r>
        <w:t xml:space="preserve"> </w:t>
      </w:r>
      <w:r>
        <w:t xml:space="preserve">·</w:t>
      </w:r>
      <w:r>
        <w:t xml:space="preserve"> </w:t>
      </w:r>
      <w:r>
        <w:t xml:space="preserve">October</w:t>
      </w:r>
      <w:r>
        <w:t xml:space="preserve"> </w:t>
      </w:r>
      <w:r>
        <w:t xml:space="preserve">2026</w:t>
      </w:r>
    </w:p>
    <w:bookmarkStart w:id="20" w:name="purpose"/>
    <w:p>
      <w:pPr>
        <w:pStyle w:val="Heading3"/>
      </w:pPr>
      <w:r>
        <w:t xml:space="preserve">1. Purpose</w:t>
      </w:r>
    </w:p>
    <w:p>
      <w:pPr>
        <w:pStyle w:val="FirstParagraph"/>
      </w:pPr>
      <w:r>
        <w:t xml:space="preserve">This procedure sets out how REM Mimarlık Dekorasyon Restorasyon Proje ve Taahhüt Hizmetleri Ltd. Şti. ("SP Architects") establishes, operates, monitors and continually improves its Occupational Health and Safety (OHS) Management System. Since 2022 a safe and healthy working environment has been one of the International Labour Organization's fundamental principles and rights at work (ILO Conventions No. 155 and No. 187). SP Architects adopts this procedure as a means of delivering its commitment to Principles 1–6 of the UN Global Compact (human rights and labour) and Policy 7 — Health, Safety and Wellbeing. The system is based on the Occupational Health and Safety Law No. 6331 (6331 sayılı İş Sağlığı ve Güvenliği Kanunu) and ISO 45001:2018, runs on the Plan-Do-Check-Act cycle, and aims to go beyond the legal minimum.</w:t>
      </w:r>
    </w:p>
    <w:bookmarkEnd w:id="20"/>
    <w:bookmarkStart w:id="21" w:name="scope"/>
    <w:p>
      <w:pPr>
        <w:pStyle w:val="Heading3"/>
      </w:pPr>
      <w:r>
        <w:t xml:space="preserve">2. Scope</w:t>
      </w:r>
    </w:p>
    <w:p>
      <w:pPr>
        <w:pStyle w:val="FirstParagraph"/>
      </w:pPr>
      <w:r>
        <w:t xml:space="preserve">This procedure covers all SP Architects offices, project sites, the construction and contracting work SP Architects manages, and site visits. It applies to all permanent, temporary and intern staff, and to contractors, sub-contractors, sub-consultants and visitors working in areas under SP Architects' control.</w:t>
      </w:r>
    </w:p>
    <w:bookmarkEnd w:id="21"/>
    <w:bookmarkStart w:id="22" w:name="definitions-and-abbreviations"/>
    <w:p>
      <w:pPr>
        <w:pStyle w:val="Heading3"/>
      </w:pPr>
      <w:r>
        <w:t xml:space="preserve">3. Definitions and Abbreviations</w:t>
      </w:r>
    </w:p>
    <w:p>
      <w:pPr>
        <w:numPr>
          <w:ilvl w:val="0"/>
          <w:numId w:val="1001"/>
        </w:numPr>
        <w:pStyle w:val="Compact"/>
      </w:pPr>
      <w:r>
        <w:rPr>
          <w:bCs/>
          <w:b/>
        </w:rPr>
        <w:t xml:space="preserve">OHS:</w:t>
      </w:r>
      <w:r>
        <w:t xml:space="preserve"> </w:t>
      </w:r>
      <w:r>
        <w:t xml:space="preserve">occupational health and safety;</w:t>
      </w:r>
      <w:r>
        <w:t xml:space="preserve"> </w:t>
      </w:r>
      <w:r>
        <w:rPr>
          <w:bCs/>
          <w:b/>
        </w:rPr>
        <w:t xml:space="preserve">OHS Management System:</w:t>
      </w:r>
      <w:r>
        <w:t xml:space="preserve"> </w:t>
      </w:r>
      <w:r>
        <w:t xml:space="preserve">the policies, processes and records defined by this procedure.</w:t>
      </w:r>
    </w:p>
    <w:p>
      <w:pPr>
        <w:numPr>
          <w:ilvl w:val="0"/>
          <w:numId w:val="1001"/>
        </w:numPr>
        <w:pStyle w:val="Compact"/>
      </w:pPr>
      <w:r>
        <w:rPr>
          <w:bCs/>
          <w:b/>
        </w:rPr>
        <w:t xml:space="preserve">Top Management:</w:t>
      </w:r>
      <w:r>
        <w:t xml:space="preserve"> </w:t>
      </w:r>
      <w:r>
        <w:t xml:space="preserve">the Founding Partner / General Manager, Deputy General Manager, Management Representative and Directors.</w:t>
      </w:r>
    </w:p>
    <w:p>
      <w:pPr>
        <w:numPr>
          <w:ilvl w:val="0"/>
          <w:numId w:val="1001"/>
        </w:numPr>
        <w:pStyle w:val="Compact"/>
      </w:pPr>
      <w:r>
        <w:rPr>
          <w:bCs/>
          <w:b/>
        </w:rPr>
        <w:t xml:space="preserve">Management Representative (MR) / OHS Coordinator:</w:t>
      </w:r>
      <w:r>
        <w:t xml:space="preserve"> </w:t>
      </w:r>
      <w:r>
        <w:t xml:space="preserve">the person appointed by Top Management to coordinate the OHS Management System.</w:t>
      </w:r>
    </w:p>
    <w:p>
      <w:pPr>
        <w:numPr>
          <w:ilvl w:val="0"/>
          <w:numId w:val="1001"/>
        </w:numPr>
        <w:pStyle w:val="Compact"/>
      </w:pPr>
      <w:r>
        <w:rPr>
          <w:bCs/>
          <w:b/>
        </w:rPr>
        <w:t xml:space="preserve">Employee representative:</w:t>
      </w:r>
      <w:r>
        <w:t xml:space="preserve"> </w:t>
      </w:r>
      <w:r>
        <w:t xml:space="preserve">a person elected or appointed from among the workforce to represent employees on OHS matters.</w:t>
      </w:r>
    </w:p>
    <w:p>
      <w:pPr>
        <w:numPr>
          <w:ilvl w:val="0"/>
          <w:numId w:val="1001"/>
        </w:numPr>
        <w:pStyle w:val="Compact"/>
      </w:pPr>
      <w:r>
        <w:rPr>
          <w:bCs/>
          <w:b/>
        </w:rPr>
        <w:t xml:space="preserve">Hazard:</w:t>
      </w:r>
      <w:r>
        <w:t xml:space="preserve"> </w:t>
      </w:r>
      <w:r>
        <w:t xml:space="preserve">a situation or source with the potential to cause death, ill health, injury or damage in the working environment.</w:t>
      </w:r>
    </w:p>
    <w:p>
      <w:pPr>
        <w:numPr>
          <w:ilvl w:val="0"/>
          <w:numId w:val="1001"/>
        </w:numPr>
        <w:pStyle w:val="Compact"/>
      </w:pPr>
      <w:r>
        <w:rPr>
          <w:bCs/>
          <w:b/>
        </w:rPr>
        <w:t xml:space="preserve">Threat:</w:t>
      </w:r>
      <w:r>
        <w:t xml:space="preserve"> </w:t>
      </w:r>
      <w:r>
        <w:t xml:space="preserve">a factor that turns a hazard into an accident.</w:t>
      </w:r>
    </w:p>
    <w:p>
      <w:pPr>
        <w:numPr>
          <w:ilvl w:val="0"/>
          <w:numId w:val="1001"/>
        </w:numPr>
        <w:pStyle w:val="Compact"/>
      </w:pPr>
      <w:r>
        <w:rPr>
          <w:bCs/>
          <w:b/>
        </w:rPr>
        <w:t xml:space="preserve">Accident:</w:t>
      </w:r>
      <w:r>
        <w:t xml:space="preserve"> </w:t>
      </w:r>
      <w:r>
        <w:t xml:space="preserve">an unwanted event causing death, ill health, injury, damage or other loss; the moment control is lost.</w:t>
      </w:r>
    </w:p>
    <w:p>
      <w:pPr>
        <w:numPr>
          <w:ilvl w:val="0"/>
          <w:numId w:val="1001"/>
        </w:numPr>
        <w:pStyle w:val="Compact"/>
      </w:pPr>
      <w:r>
        <w:rPr>
          <w:bCs/>
          <w:b/>
        </w:rPr>
        <w:t xml:space="preserve">Work accident:</w:t>
      </w:r>
      <w:r>
        <w:t xml:space="preserve"> </w:t>
      </w:r>
      <w:r>
        <w:t xml:space="preserve">an event that immediately or later causes physical or psychological harm to a worker and occurs: (a) while the worker is at the workplace; (b) because of work carried out by the employer; (c) while a worker sent elsewhere on duty by the employer is not performing their main work; (d) during time allowed for a breastfeeding worker to feed her child; or (e) while workers are being transported together to or from the place of work in a vehicle provided by the employer.</w:t>
      </w:r>
    </w:p>
    <w:p>
      <w:pPr>
        <w:numPr>
          <w:ilvl w:val="0"/>
          <w:numId w:val="1001"/>
        </w:numPr>
        <w:pStyle w:val="Compact"/>
      </w:pPr>
      <w:r>
        <w:rPr>
          <w:bCs/>
          <w:b/>
        </w:rPr>
        <w:t xml:space="preserve">Occupational disease:</w:t>
      </w:r>
      <w:r>
        <w:t xml:space="preserve"> </w:t>
      </w:r>
      <w:r>
        <w:t xml:space="preserve">a temporary or permanent illness, disability or psychological condition caused by a recurring factor inherent in the work or by the conditions in which the work is carried out.</w:t>
      </w:r>
    </w:p>
    <w:p>
      <w:pPr>
        <w:numPr>
          <w:ilvl w:val="0"/>
          <w:numId w:val="1001"/>
        </w:numPr>
        <w:pStyle w:val="Compact"/>
      </w:pPr>
      <w:r>
        <w:rPr>
          <w:bCs/>
          <w:b/>
        </w:rPr>
        <w:t xml:space="preserve">Near miss:</w:t>
      </w:r>
      <w:r>
        <w:t xml:space="preserve"> </w:t>
      </w:r>
      <w:r>
        <w:t xml:space="preserve">an event that did not, but could have, resulted in injury, ill health, damage or loss.</w:t>
      </w:r>
    </w:p>
    <w:p>
      <w:pPr>
        <w:numPr>
          <w:ilvl w:val="0"/>
          <w:numId w:val="1001"/>
        </w:numPr>
        <w:pStyle w:val="Compact"/>
      </w:pPr>
      <w:r>
        <w:rPr>
          <w:bCs/>
          <w:b/>
        </w:rPr>
        <w:t xml:space="preserve">Risk:</w:t>
      </w:r>
      <w:r>
        <w:t xml:space="preserve"> </w:t>
      </w:r>
      <w:r>
        <w:t xml:space="preserve">the combination of the likelihood of a hazard occurring and the severity of the resulting harm.</w:t>
      </w:r>
    </w:p>
    <w:p>
      <w:pPr>
        <w:numPr>
          <w:ilvl w:val="0"/>
          <w:numId w:val="1001"/>
        </w:numPr>
        <w:pStyle w:val="Compact"/>
      </w:pPr>
      <w:r>
        <w:rPr>
          <w:bCs/>
          <w:b/>
        </w:rPr>
        <w:t xml:space="preserve">Risk analysis and assessment:</w:t>
      </w:r>
      <w:r>
        <w:t xml:space="preserve"> </w:t>
      </w:r>
      <w:r>
        <w:t xml:space="preserve">identifying hazards, rating risks against the worst realistic scenario and setting prioritised control measures.</w:t>
      </w:r>
    </w:p>
    <w:p>
      <w:pPr>
        <w:numPr>
          <w:ilvl w:val="0"/>
          <w:numId w:val="1001"/>
        </w:numPr>
        <w:pStyle w:val="Compact"/>
      </w:pPr>
      <w:r>
        <w:rPr>
          <w:bCs/>
          <w:b/>
        </w:rPr>
        <w:t xml:space="preserve">Likelihood (RO):</w:t>
      </w:r>
      <w:r>
        <w:t xml:space="preserve"> </w:t>
      </w:r>
      <w:r>
        <w:t xml:space="preserve">the probability of the hazard occurring (Table 1).</w:t>
      </w:r>
    </w:p>
    <w:p>
      <w:pPr>
        <w:numPr>
          <w:ilvl w:val="0"/>
          <w:numId w:val="1001"/>
        </w:numPr>
        <w:pStyle w:val="Compact"/>
      </w:pPr>
      <w:r>
        <w:rPr>
          <w:bCs/>
          <w:b/>
        </w:rPr>
        <w:t xml:space="preserve">Severity (RŞ):</w:t>
      </w:r>
      <w:r>
        <w:t xml:space="preserve"> </w:t>
      </w:r>
      <w:r>
        <w:t xml:space="preserve">the extent of harm to the person(s) affected if it occurs (Table 2).</w:t>
      </w:r>
    </w:p>
    <w:p>
      <w:pPr>
        <w:numPr>
          <w:ilvl w:val="0"/>
          <w:numId w:val="1001"/>
        </w:numPr>
        <w:pStyle w:val="Compact"/>
      </w:pPr>
      <w:r>
        <w:rPr>
          <w:bCs/>
          <w:b/>
        </w:rPr>
        <w:t xml:space="preserve">Risk rating (RD):</w:t>
      </w:r>
      <w:r>
        <w:t xml:space="preserve"> </w:t>
      </w:r>
      <w:r>
        <w:t xml:space="preserve">RD = RO x RŞ.</w:t>
      </w:r>
    </w:p>
    <w:p>
      <w:pPr>
        <w:numPr>
          <w:ilvl w:val="0"/>
          <w:numId w:val="1001"/>
        </w:numPr>
        <w:pStyle w:val="Compact"/>
      </w:pPr>
      <w:r>
        <w:rPr>
          <w:bCs/>
          <w:b/>
        </w:rPr>
        <w:t xml:space="preserve">Competent worker:</w:t>
      </w:r>
      <w:r>
        <w:t xml:space="preserve"> </w:t>
      </w:r>
      <w:r>
        <w:t xml:space="preserve">a worker trained in basic OHS, accident prevention, personal protective equipment and machine and environmental safeguards, who has internalised safe behaviour and shares it with colleagues.</w:t>
      </w:r>
    </w:p>
    <w:p>
      <w:pPr>
        <w:numPr>
          <w:ilvl w:val="0"/>
          <w:numId w:val="1001"/>
        </w:numPr>
        <w:pStyle w:val="Compact"/>
      </w:pPr>
      <w:r>
        <w:rPr>
          <w:bCs/>
          <w:b/>
        </w:rPr>
        <w:t xml:space="preserve">CAPA:</w:t>
      </w:r>
      <w:r>
        <w:t xml:space="preserve"> </w:t>
      </w:r>
      <w:r>
        <w:t xml:space="preserve">corrective and preventive action (DÖF).</w:t>
      </w:r>
      <w:r>
        <w:t xml:space="preserve"> </w:t>
      </w:r>
      <w:r>
        <w:rPr>
          <w:bCs/>
          <w:b/>
        </w:rPr>
        <w:t xml:space="preserve">Management review:</w:t>
      </w:r>
      <w:r>
        <w:t xml:space="preserve"> </w:t>
      </w:r>
      <w:r>
        <w:t xml:space="preserve">YGG.</w:t>
      </w:r>
      <w:r>
        <w:t xml:space="preserve"> </w:t>
      </w:r>
      <w:r>
        <w:rPr>
          <w:bCs/>
          <w:b/>
        </w:rPr>
        <w:t xml:space="preserve">PPE:</w:t>
      </w:r>
      <w:r>
        <w:t xml:space="preserve"> </w:t>
      </w:r>
      <w:r>
        <w:t xml:space="preserve">personal protective equipment (KKD).</w:t>
      </w:r>
    </w:p>
    <w:bookmarkEnd w:id="22"/>
    <w:bookmarkStart w:id="23" w:name="context-of-the-organisation"/>
    <w:p>
      <w:pPr>
        <w:pStyle w:val="Heading3"/>
      </w:pPr>
      <w:r>
        <w:t xml:space="preserve">4. Context of the Organisation</w:t>
      </w:r>
    </w:p>
    <w:p>
      <w:pPr>
        <w:pStyle w:val="FirstParagraph"/>
      </w:pPr>
      <w:r>
        <w:t xml:space="preserve">SP Architects is an architectural design practice that also carries out construction work under contract. In setting the scope of the OHS Management System it considers:</w:t>
      </w:r>
    </w:p>
    <w:p>
      <w:pPr>
        <w:numPr>
          <w:ilvl w:val="0"/>
          <w:numId w:val="1002"/>
        </w:numPr>
        <w:pStyle w:val="Compact"/>
      </w:pPr>
      <w:r>
        <w:t xml:space="preserve">office risks: display screen work, ergonomics, long hours, workload and other psychosocial risks, fire and earthquake;</w:t>
      </w:r>
    </w:p>
    <w:p>
      <w:pPr>
        <w:numPr>
          <w:ilvl w:val="0"/>
          <w:numId w:val="1002"/>
        </w:numPr>
        <w:pStyle w:val="Compact"/>
      </w:pPr>
      <w:r>
        <w:t xml:space="preserve">site and construction risks: work at height, falling objects, plant, electricity, excavation, demolition and restoration work, driving and travel;</w:t>
      </w:r>
    </w:p>
    <w:p>
      <w:pPr>
        <w:numPr>
          <w:ilvl w:val="0"/>
          <w:numId w:val="1002"/>
        </w:numPr>
        <w:pStyle w:val="Compact"/>
      </w:pPr>
      <w:r>
        <w:t xml:space="preserve">interested parties and their expectations: employees and the employee representative, contractors and sub-contractors, clients, visitors, public authorities, the Social Security Institution (SGK), and frameworks such as the UN Global Compact and RIBA;</w:t>
      </w:r>
    </w:p>
    <w:p>
      <w:pPr>
        <w:numPr>
          <w:ilvl w:val="0"/>
          <w:numId w:val="1002"/>
        </w:numPr>
        <w:pStyle w:val="Compact"/>
      </w:pPr>
      <w:r>
        <w:t xml:space="preserve">applicable legal and other requirements (section 6.3).</w:t>
      </w:r>
    </w:p>
    <w:p>
      <w:pPr>
        <w:pStyle w:val="FirstParagraph"/>
      </w:pPr>
      <w:r>
        <w:t xml:space="preserve">The scope, elements and interaction of the system are defined by sections 4–10 of this procedure and are made available, with Policy 7, to all employees and interested parties.</w:t>
      </w:r>
    </w:p>
    <w:bookmarkEnd w:id="23"/>
    <w:bookmarkStart w:id="29" w:name="leadership-and-worker-participation"/>
    <w:p>
      <w:pPr>
        <w:pStyle w:val="Heading3"/>
      </w:pPr>
      <w:r>
        <w:t xml:space="preserve">5. Leadership and Worker Participation</w:t>
      </w:r>
    </w:p>
    <w:bookmarkStart w:id="24" w:name="leadership-and-commitment"/>
    <w:p>
      <w:pPr>
        <w:pStyle w:val="Heading4"/>
      </w:pPr>
      <w:r>
        <w:t xml:space="preserve">5.1 Leadership and commitment</w:t>
      </w:r>
    </w:p>
    <w:p>
      <w:pPr>
        <w:pStyle w:val="FirstParagraph"/>
      </w:pPr>
      <w:r>
        <w:t xml:space="preserve">Top Management holds ultimate responsibility for the OHS Management System. The employer's duties under Law No. 6331 are not removed by the obligations of workers or contractors (Art. 4), and the cost of OHS measures, including PPE, may not be passed on to workers. Top Management provides the resources needed — people, expertise, organisation, technology and budget — treats OHS as a strategic, management-level issue, and protects anyone who reports an incident, hazard or risk from retaliation.</w:t>
      </w:r>
    </w:p>
    <w:bookmarkEnd w:id="24"/>
    <w:bookmarkStart w:id="25" w:name="ohs-policy"/>
    <w:p>
      <w:pPr>
        <w:pStyle w:val="Heading4"/>
      </w:pPr>
      <w:r>
        <w:t xml:space="preserve">5.2 OHS Policy</w:t>
      </w:r>
    </w:p>
    <w:p>
      <w:pPr>
        <w:pStyle w:val="FirstParagraph"/>
      </w:pPr>
      <w:r>
        <w:t xml:space="preserve">The OHS Policy is Policy 7 — Health, Safety and Wellbeing, approved by Top Management. It:</w:t>
      </w:r>
    </w:p>
    <w:p>
      <w:pPr>
        <w:numPr>
          <w:ilvl w:val="0"/>
          <w:numId w:val="1003"/>
        </w:numPr>
        <w:pStyle w:val="Compact"/>
      </w:pPr>
      <w:r>
        <w:t xml:space="preserve">is appropriate to the nature and scale of SP Architects' risks;</w:t>
      </w:r>
    </w:p>
    <w:p>
      <w:pPr>
        <w:numPr>
          <w:ilvl w:val="0"/>
          <w:numId w:val="1003"/>
        </w:numPr>
        <w:pStyle w:val="Compact"/>
      </w:pPr>
      <w:r>
        <w:t xml:space="preserve">commits to preventing injury and ill health and to continual improvement of OHS performance;</w:t>
      </w:r>
    </w:p>
    <w:p>
      <w:pPr>
        <w:numPr>
          <w:ilvl w:val="0"/>
          <w:numId w:val="1003"/>
        </w:numPr>
        <w:pStyle w:val="Compact"/>
      </w:pPr>
      <w:r>
        <w:t xml:space="preserve">commits to compliance with applicable law, ISO 45001:2018 and other requirements SP Architects has adopted, including the UN Global Compact;</w:t>
      </w:r>
    </w:p>
    <w:p>
      <w:pPr>
        <w:numPr>
          <w:ilvl w:val="0"/>
          <w:numId w:val="1003"/>
        </w:numPr>
        <w:pStyle w:val="Compact"/>
      </w:pPr>
      <w:r>
        <w:t xml:space="preserve">commits to eliminating hazards, reducing risks, and consulting workers and enabling their participation;</w:t>
      </w:r>
    </w:p>
    <w:p>
      <w:pPr>
        <w:numPr>
          <w:ilvl w:val="0"/>
          <w:numId w:val="1003"/>
        </w:numPr>
        <w:pStyle w:val="Compact"/>
      </w:pPr>
      <w:r>
        <w:t xml:space="preserve">provides a framework for OHS objectives;</w:t>
      </w:r>
    </w:p>
    <w:p>
      <w:pPr>
        <w:numPr>
          <w:ilvl w:val="0"/>
          <w:numId w:val="1003"/>
        </w:numPr>
        <w:pStyle w:val="Compact"/>
      </w:pPr>
      <w:r>
        <w:t xml:space="preserve">is communicated to all employees, published on the website and reviewed at every management review.</w:t>
      </w:r>
    </w:p>
    <w:bookmarkEnd w:id="25"/>
    <w:bookmarkStart w:id="26" w:name="roles-responsibilities-and-authorities"/>
    <w:p>
      <w:pPr>
        <w:pStyle w:val="Heading4"/>
      </w:pPr>
      <w:r>
        <w:t xml:space="preserve">5.3 Roles, responsibilities and authorities</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Role</w:t>
            </w:r>
          </w:p>
        </w:tc>
        <w:tc>
          <w:tcPr/>
          <w:p>
            <w:pPr>
              <w:pStyle w:val="Compact"/>
              <w:jc w:val="left"/>
            </w:pPr>
            <w:r>
              <w:rPr>
                <w:b/>
              </w:rPr>
              <w:t xml:space="preserve">Responsibilities</w:t>
            </w:r>
          </w:p>
        </w:tc>
      </w:tr>
      <w:tr>
        <w:tc>
          <w:tcPr/>
          <w:p>
            <w:pPr>
              <w:pStyle w:val="Compact"/>
              <w:jc w:val="left"/>
            </w:pPr>
            <w:r>
              <w:t xml:space="preserve">Top Management</w:t>
            </w:r>
          </w:p>
        </w:tc>
        <w:tc>
          <w:tcPr/>
          <w:p>
            <w:pPr>
              <w:pStyle w:val="Compact"/>
              <w:jc w:val="left"/>
            </w:pPr>
            <w:r>
              <w:t xml:space="preserve">Approves the policy, sets objectives, provides resources, conducts management review, appoints the MR and announces the appointment to all staff.</w:t>
            </w:r>
          </w:p>
        </w:tc>
      </w:tr>
      <w:tr>
        <w:tc>
          <w:tcPr/>
          <w:p>
            <w:pPr>
              <w:pStyle w:val="Compact"/>
              <w:jc w:val="left"/>
            </w:pPr>
            <w:r>
              <w:t xml:space="preserve">Management Representative (OHS Coordinator)</w:t>
            </w:r>
          </w:p>
        </w:tc>
        <w:tc>
          <w:tcPr/>
          <w:p>
            <w:pPr>
              <w:pStyle w:val="Compact"/>
              <w:jc w:val="left"/>
            </w:pPr>
            <w:r>
              <w:t xml:space="preserve">Ensures the system is established, implemented and maintained in line with ISO 45001:2018; coordinates hazard identification and risk assessment; tracks legislation; reports OHS performance and improvement needs to Top Management; follows external communication and represents SP Architects externally where needed. Duties are set out in the job description.</w:t>
            </w:r>
          </w:p>
        </w:tc>
      </w:tr>
      <w:tr>
        <w:tc>
          <w:tcPr/>
          <w:p>
            <w:pPr>
              <w:pStyle w:val="Compact"/>
              <w:jc w:val="left"/>
            </w:pPr>
            <w:r>
              <w:t xml:space="preserve">OHS specialist and occupational physician</w:t>
            </w:r>
          </w:p>
        </w:tc>
        <w:tc>
          <w:tcPr/>
          <w:p>
            <w:pPr>
              <w:pStyle w:val="Compact"/>
              <w:jc w:val="left"/>
            </w:pPr>
            <w:r>
              <w:t xml:space="preserve">Provide technical support on risk assessment, training, health surveillance, incident investigation and CAPA; record their observations and recommendations.</w:t>
            </w:r>
          </w:p>
        </w:tc>
      </w:tr>
      <w:tr>
        <w:tc>
          <w:tcPr/>
          <w:p>
            <w:pPr>
              <w:pStyle w:val="Compact"/>
              <w:jc w:val="left"/>
            </w:pPr>
            <w:r>
              <w:t xml:space="preserve">OHS Committee (where legally required)</w:t>
            </w:r>
          </w:p>
        </w:tc>
        <w:tc>
          <w:tcPr/>
          <w:p>
            <w:pPr>
              <w:pStyle w:val="Compact"/>
              <w:jc w:val="left"/>
            </w:pPr>
            <w:r>
              <w:t xml:space="preserve">Plans and monitors OHS activities and recommends measures. Where no committee is required, these duties pass to an OHS Coordination Meeting of the MR, the OHS specialist and the employee representative.</w:t>
            </w:r>
          </w:p>
        </w:tc>
      </w:tr>
      <w:tr>
        <w:tc>
          <w:tcPr/>
          <w:p>
            <w:pPr>
              <w:pStyle w:val="Compact"/>
              <w:jc w:val="left"/>
            </w:pPr>
            <w:r>
              <w:t xml:space="preserve">Employee representative</w:t>
            </w:r>
          </w:p>
        </w:tc>
        <w:tc>
          <w:tcPr/>
          <w:p>
            <w:pPr>
              <w:pStyle w:val="Compact"/>
              <w:jc w:val="left"/>
            </w:pPr>
            <w:r>
              <w:t xml:space="preserve">Conveys employees' views and suggestions, takes part in risk assessment and incident investigation, and may request measures.</w:t>
            </w:r>
          </w:p>
        </w:tc>
      </w:tr>
      <w:tr>
        <w:tc>
          <w:tcPr/>
          <w:p>
            <w:pPr>
              <w:pStyle w:val="Compact"/>
              <w:jc w:val="left"/>
            </w:pPr>
            <w:r>
              <w:t xml:space="preserve">Department, project and site managers</w:t>
            </w:r>
          </w:p>
        </w:tc>
        <w:tc>
          <w:tcPr/>
          <w:p>
            <w:pPr>
              <w:pStyle w:val="Compact"/>
              <w:jc w:val="left"/>
            </w:pPr>
            <w:r>
              <w:t xml:space="preserve">Responsible for applying OHS requirements in their area, for contractor compliance and for prompt reporting of incidents.</w:t>
            </w:r>
          </w:p>
        </w:tc>
      </w:tr>
      <w:tr>
        <w:tc>
          <w:tcPr/>
          <w:p>
            <w:pPr>
              <w:pStyle w:val="Compact"/>
              <w:jc w:val="left"/>
            </w:pPr>
            <w:r>
              <w:t xml:space="preserve">Employees</w:t>
            </w:r>
          </w:p>
        </w:tc>
        <w:tc>
          <w:tcPr/>
          <w:p>
            <w:pPr>
              <w:pStyle w:val="Compact"/>
              <w:jc w:val="left"/>
            </w:pPr>
            <w:r>
              <w:t xml:space="preserve">Attend training, follow instructions and safe systems of work, use PPE correctly, report hazards, near misses and incidents, and look after their own and others' health and safety.</w:t>
            </w:r>
          </w:p>
        </w:tc>
      </w:tr>
      <w:tr>
        <w:tc>
          <w:tcPr/>
          <w:p>
            <w:pPr>
              <w:pStyle w:val="Compact"/>
              <w:jc w:val="left"/>
            </w:pPr>
            <w:r>
              <w:t xml:space="preserve">Contractors and sub-contractors</w:t>
            </w:r>
          </w:p>
        </w:tc>
        <w:tc>
          <w:tcPr/>
          <w:p>
            <w:pPr>
              <w:pStyle w:val="Compact"/>
              <w:jc w:val="left"/>
            </w:pPr>
            <w:r>
              <w:t xml:space="preserve">Comply with SP Architects' OHS requirements and Policy 8 — Supplier and Sub-consultant Code of Conduct; provide training and PPE for their own workers; report incidents immediately.</w:t>
            </w:r>
          </w:p>
        </w:tc>
      </w:tr>
    </w:tbl>
    <w:bookmarkEnd w:id="26"/>
    <w:bookmarkStart w:id="27" w:name="participation-and-consultation"/>
    <w:p>
      <w:pPr>
        <w:pStyle w:val="Heading4"/>
      </w:pPr>
      <w:r>
        <w:t xml:space="preserve">5.4 Participation and consultation</w:t>
      </w:r>
    </w:p>
    <w:p>
      <w:pPr>
        <w:pStyle w:val="FirstParagraph"/>
      </w:pPr>
      <w:r>
        <w:t xml:space="preserve">SP Architects consults employees and the employee representative and enables their participation (Law No. 6331, Art. 18), in particular on:</w:t>
      </w:r>
    </w:p>
    <w:p>
      <w:pPr>
        <w:numPr>
          <w:ilvl w:val="0"/>
          <w:numId w:val="1004"/>
        </w:numPr>
        <w:pStyle w:val="Compact"/>
      </w:pPr>
      <w:r>
        <w:t xml:space="preserve">hazard identification, risk assessment and the choice of controls;</w:t>
      </w:r>
    </w:p>
    <w:p>
      <w:pPr>
        <w:numPr>
          <w:ilvl w:val="0"/>
          <w:numId w:val="1004"/>
        </w:numPr>
        <w:pStyle w:val="Compact"/>
      </w:pPr>
      <w:r>
        <w:t xml:space="preserve">incident and near-miss investigations;</w:t>
      </w:r>
    </w:p>
    <w:p>
      <w:pPr>
        <w:numPr>
          <w:ilvl w:val="0"/>
          <w:numId w:val="1004"/>
        </w:numPr>
        <w:pStyle w:val="Compact"/>
      </w:pPr>
      <w:r>
        <w:t xml:space="preserve">developing and reviewing the OHS policy and objectives;</w:t>
      </w:r>
    </w:p>
    <w:p>
      <w:pPr>
        <w:numPr>
          <w:ilvl w:val="0"/>
          <w:numId w:val="1004"/>
        </w:numPr>
        <w:pStyle w:val="Compact"/>
      </w:pPr>
      <w:r>
        <w:t xml:space="preserve">changes affecting OHS (new office, new site, new equipment, changes to work organisation);</w:t>
      </w:r>
    </w:p>
    <w:p>
      <w:pPr>
        <w:numPr>
          <w:ilvl w:val="0"/>
          <w:numId w:val="1004"/>
        </w:numPr>
        <w:pStyle w:val="Compact"/>
      </w:pPr>
      <w:r>
        <w:t xml:space="preserve">identifying training needs.</w:t>
      </w:r>
    </w:p>
    <w:p>
      <w:pPr>
        <w:pStyle w:val="FirstParagraph"/>
      </w:pPr>
      <w:r>
        <w:t xml:space="preserve">Employees and their representatives are given the time, information and training they need to take part, and barriers to participation — language, workload, fear of reprisal — are removed.</w:t>
      </w:r>
    </w:p>
    <w:bookmarkEnd w:id="27"/>
    <w:bookmarkStart w:id="28" w:name="Xe7c358ab5ea8d95c25dd75cb365705a82849d6b"/>
    <w:p>
      <w:pPr>
        <w:pStyle w:val="Heading4"/>
      </w:pPr>
      <w:r>
        <w:t xml:space="preserve">5.5 Right to stop work and reporting channels</w:t>
      </w:r>
    </w:p>
    <w:p>
      <w:pPr>
        <w:pStyle w:val="FirstParagraph"/>
      </w:pPr>
      <w:r>
        <w:t xml:space="preserve">A worker facing serious and imminent danger may ask the OHS Committee, or the employer where there is none, to take the necessary measures and may refuse to work until they are taken; where the danger cannot be avoided, the worker may leave the work area (Law No. 6331, Art. 13). Workers who use this right will not lose pay or other entitlements and will not suffer any retaliation. Workers may also tell their manager, without penalty, that they are not fit for a particular task (for example through fatigue or health). OHS concerns can be raised with a manager, the MR, the employee representative, or confidentially under Policy 6 — Speak-Up and Whistleblower Protection.</w:t>
      </w:r>
    </w:p>
    <w:bookmarkEnd w:id="28"/>
    <w:bookmarkEnd w:id="29"/>
    <w:bookmarkStart w:id="34" w:name="planning"/>
    <w:p>
      <w:pPr>
        <w:pStyle w:val="Heading3"/>
      </w:pPr>
      <w:r>
        <w:t xml:space="preserve">6. Planning</w:t>
      </w:r>
    </w:p>
    <w:bookmarkStart w:id="30" w:name="Xe3db3da8e9fb29f425de26d43b91ec893e22e5d"/>
    <w:p>
      <w:pPr>
        <w:pStyle w:val="Heading4"/>
      </w:pPr>
      <w:r>
        <w:t xml:space="preserve">6.1 Hazard identification, risk assessment and determination of controls</w:t>
      </w:r>
    </w:p>
    <w:p>
      <w:pPr>
        <w:pStyle w:val="FirstParagraph"/>
      </w:pPr>
      <w:r>
        <w:t xml:space="preserve">Risk assessment is proactive rather than reactive. It is carried out for every department and project with the support of the OHS specialist and occupational physician and the participation of the employee representative, and considers:</w:t>
      </w:r>
    </w:p>
    <w:p>
      <w:pPr>
        <w:numPr>
          <w:ilvl w:val="0"/>
          <w:numId w:val="1005"/>
        </w:numPr>
        <w:pStyle w:val="Compact"/>
      </w:pPr>
      <w:r>
        <w:t xml:space="preserve">routine and non-routine activities (office, site visits, construction sites, travel);</w:t>
      </w:r>
    </w:p>
    <w:p>
      <w:pPr>
        <w:numPr>
          <w:ilvl w:val="0"/>
          <w:numId w:val="1005"/>
        </w:numPr>
        <w:pStyle w:val="Compact"/>
      </w:pPr>
      <w:r>
        <w:t xml:space="preserve">the activities of everyone with access to the workplace, including contractors and visitors, and the rules they must follow;</w:t>
      </w:r>
    </w:p>
    <w:p>
      <w:pPr>
        <w:numPr>
          <w:ilvl w:val="0"/>
          <w:numId w:val="1005"/>
        </w:numPr>
        <w:pStyle w:val="Compact"/>
      </w:pPr>
      <w:r>
        <w:t xml:space="preserve">human behaviour, capabilities and other human factors, and groups needing particular attention such as women, young, older, disabled, pregnant and breastfeeding workers;</w:t>
      </w:r>
    </w:p>
    <w:p>
      <w:pPr>
        <w:numPr>
          <w:ilvl w:val="0"/>
          <w:numId w:val="1005"/>
        </w:numPr>
        <w:pStyle w:val="Compact"/>
      </w:pPr>
      <w:r>
        <w:t xml:space="preserve">hazards originating outside the workplace that could affect people under SP Architects' control, and hazards from work-related activities in the vicinity;</w:t>
      </w:r>
    </w:p>
    <w:p>
      <w:pPr>
        <w:numPr>
          <w:ilvl w:val="0"/>
          <w:numId w:val="1005"/>
        </w:numPr>
        <w:pStyle w:val="Compact"/>
      </w:pPr>
      <w:r>
        <w:t xml:space="preserve">infrastructure, equipment and materials provided by SP Architects or others;</w:t>
      </w:r>
    </w:p>
    <w:p>
      <w:pPr>
        <w:numPr>
          <w:ilvl w:val="0"/>
          <w:numId w:val="1005"/>
        </w:numPr>
        <w:pStyle w:val="Compact"/>
      </w:pPr>
      <w:r>
        <w:t xml:space="preserve">temporary and permanent changes, actual or proposed, to the organisation, its activities, materials or the OHS Management System;</w:t>
      </w:r>
    </w:p>
    <w:p>
      <w:pPr>
        <w:numPr>
          <w:ilvl w:val="0"/>
          <w:numId w:val="1005"/>
        </w:numPr>
        <w:pStyle w:val="Compact"/>
      </w:pPr>
      <w:r>
        <w:t xml:space="preserve">applicable legal obligations;</w:t>
      </w:r>
    </w:p>
    <w:p>
      <w:pPr>
        <w:numPr>
          <w:ilvl w:val="0"/>
          <w:numId w:val="1005"/>
        </w:numPr>
        <w:pStyle w:val="Compact"/>
      </w:pPr>
      <w:r>
        <w:t xml:space="preserve">the design of work areas, processes, equipment and work organisation and their adaptation to human capabilities (ergonomics).</w:t>
      </w:r>
    </w:p>
    <w:p>
      <w:pPr>
        <w:pStyle w:val="FirstParagraph"/>
      </w:pPr>
      <w:r>
        <w:t xml:space="preserve">Risk is assessed with a 5x5 matrix against the worst realistic scenario and recorded on the OHS Hazard Identification and Risk Analysis Form (F.10.04).</w:t>
      </w:r>
    </w:p>
    <w:p>
      <w:pPr>
        <w:pStyle w:val="BodyText"/>
      </w:pPr>
      <w:r>
        <w:rPr>
          <w:bCs/>
          <w:b/>
        </w:rPr>
        <w:t xml:space="preserve">Table 1 — Likelihood (RO)</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Likelihood</w:t>
            </w:r>
          </w:p>
        </w:tc>
        <w:tc>
          <w:tcPr/>
          <w:p>
            <w:pPr>
              <w:pStyle w:val="Compact"/>
              <w:jc w:val="left"/>
            </w:pPr>
            <w:r>
              <w:rPr>
                <w:b/>
              </w:rPr>
              <w:t xml:space="preserve">Description</w:t>
            </w:r>
          </w:p>
        </w:tc>
        <w:tc>
          <w:tcPr/>
          <w:p>
            <w:pPr>
              <w:pStyle w:val="Compact"/>
              <w:jc w:val="left"/>
            </w:pPr>
            <w:r>
              <w:rPr>
                <w:b/>
              </w:rPr>
              <w:t xml:space="preserve">Score</w:t>
            </w:r>
          </w:p>
        </w:tc>
      </w:tr>
      <w:tr>
        <w:tc>
          <w:tcPr/>
          <w:p>
            <w:pPr>
              <w:pStyle w:val="Compact"/>
              <w:jc w:val="left"/>
            </w:pPr>
            <w:r>
              <w:t xml:space="preserve">Very unlikely</w:t>
            </w:r>
          </w:p>
        </w:tc>
        <w:tc>
          <w:tcPr/>
          <w:p>
            <w:pPr>
              <w:pStyle w:val="Compact"/>
              <w:jc w:val="left"/>
            </w:pPr>
            <w:r>
              <w:t xml:space="preserve">Almost impossible (once a year)</w:t>
            </w:r>
          </w:p>
        </w:tc>
        <w:tc>
          <w:tcPr/>
          <w:p>
            <w:pPr>
              <w:pStyle w:val="Compact"/>
              <w:jc w:val="left"/>
            </w:pPr>
            <w:r>
              <w:t xml:space="preserve">1</w:t>
            </w:r>
          </w:p>
        </w:tc>
      </w:tr>
      <w:tr>
        <w:tc>
          <w:tcPr/>
          <w:p>
            <w:pPr>
              <w:pStyle w:val="Compact"/>
              <w:jc w:val="left"/>
            </w:pPr>
            <w:r>
              <w:t xml:space="preserve">Unlikely</w:t>
            </w:r>
          </w:p>
        </w:tc>
        <w:tc>
          <w:tcPr/>
          <w:p>
            <w:pPr>
              <w:pStyle w:val="Compact"/>
              <w:jc w:val="left"/>
            </w:pPr>
            <w:r>
              <w:t xml:space="preserve">Rarely (a few times a year)</w:t>
            </w:r>
          </w:p>
        </w:tc>
        <w:tc>
          <w:tcPr/>
          <w:p>
            <w:pPr>
              <w:pStyle w:val="Compact"/>
              <w:jc w:val="left"/>
            </w:pPr>
            <w:r>
              <w:t xml:space="preserve">2</w:t>
            </w:r>
          </w:p>
        </w:tc>
      </w:tr>
      <w:tr>
        <w:tc>
          <w:tcPr/>
          <w:p>
            <w:pPr>
              <w:pStyle w:val="Compact"/>
              <w:jc w:val="left"/>
            </w:pPr>
            <w:r>
              <w:t xml:space="preserve">Possible</w:t>
            </w:r>
          </w:p>
        </w:tc>
        <w:tc>
          <w:tcPr/>
          <w:p>
            <w:pPr>
              <w:pStyle w:val="Compact"/>
              <w:jc w:val="left"/>
            </w:pPr>
            <w:r>
              <w:t xml:space="preserve">Could happen (once a month)</w:t>
            </w:r>
          </w:p>
        </w:tc>
        <w:tc>
          <w:tcPr/>
          <w:p>
            <w:pPr>
              <w:pStyle w:val="Compact"/>
              <w:jc w:val="left"/>
            </w:pPr>
            <w:r>
              <w:t xml:space="preserve">3</w:t>
            </w:r>
          </w:p>
        </w:tc>
      </w:tr>
      <w:tr>
        <w:tc>
          <w:tcPr/>
          <w:p>
            <w:pPr>
              <w:pStyle w:val="Compact"/>
              <w:jc w:val="left"/>
            </w:pPr>
            <w:r>
              <w:t xml:space="preserve">Likely</w:t>
            </w:r>
          </w:p>
        </w:tc>
        <w:tc>
          <w:tcPr/>
          <w:p>
            <w:pPr>
              <w:pStyle w:val="Compact"/>
              <w:jc w:val="left"/>
            </w:pPr>
            <w:r>
              <w:t xml:space="preserve">Very probable (once a week)</w:t>
            </w:r>
          </w:p>
        </w:tc>
        <w:tc>
          <w:tcPr/>
          <w:p>
            <w:pPr>
              <w:pStyle w:val="Compact"/>
              <w:jc w:val="left"/>
            </w:pPr>
            <w:r>
              <w:t xml:space="preserve">4</w:t>
            </w:r>
          </w:p>
        </w:tc>
      </w:tr>
      <w:tr>
        <w:tc>
          <w:tcPr/>
          <w:p>
            <w:pPr>
              <w:pStyle w:val="Compact"/>
              <w:jc w:val="left"/>
            </w:pPr>
            <w:r>
              <w:t xml:space="preserve">Very likely</w:t>
            </w:r>
          </w:p>
        </w:tc>
        <w:tc>
          <w:tcPr/>
          <w:p>
            <w:pPr>
              <w:pStyle w:val="Compact"/>
              <w:jc w:val="left"/>
            </w:pPr>
            <w:r>
              <w:t xml:space="preserve">Unavoidable (every day)</w:t>
            </w:r>
          </w:p>
        </w:tc>
        <w:tc>
          <w:tcPr/>
          <w:p>
            <w:pPr>
              <w:pStyle w:val="Compact"/>
              <w:jc w:val="left"/>
            </w:pPr>
            <w:r>
              <w:t xml:space="preserve">5</w:t>
            </w:r>
          </w:p>
        </w:tc>
      </w:tr>
    </w:tbl>
    <w:p>
      <w:pPr>
        <w:pStyle w:val="BodyText"/>
      </w:pPr>
      <w:r>
        <w:rPr>
          <w:bCs/>
          <w:b/>
        </w:rPr>
        <w:t xml:space="preserve">Table 2 — Severity (RŞ)</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Severity</w:t>
            </w:r>
          </w:p>
        </w:tc>
        <w:tc>
          <w:tcPr/>
          <w:p>
            <w:pPr>
              <w:pStyle w:val="Compact"/>
              <w:jc w:val="left"/>
            </w:pPr>
            <w:r>
              <w:rPr>
                <w:b/>
              </w:rPr>
              <w:t xml:space="preserve">Description</w:t>
            </w:r>
          </w:p>
        </w:tc>
        <w:tc>
          <w:tcPr/>
          <w:p>
            <w:pPr>
              <w:pStyle w:val="Compact"/>
              <w:jc w:val="left"/>
            </w:pPr>
            <w:r>
              <w:rPr>
                <w:b/>
              </w:rPr>
              <w:t xml:space="preserve">Score</w:t>
            </w:r>
          </w:p>
        </w:tc>
      </w:tr>
      <w:tr>
        <w:tc>
          <w:tcPr/>
          <w:p>
            <w:pPr>
              <w:pStyle w:val="Compact"/>
              <w:jc w:val="left"/>
            </w:pPr>
            <w:r>
              <w:t xml:space="preserve">Very minor</w:t>
            </w:r>
          </w:p>
        </w:tc>
        <w:tc>
          <w:tcPr/>
          <w:p>
            <w:pPr>
              <w:pStyle w:val="Compact"/>
              <w:jc w:val="left"/>
            </w:pPr>
            <w:r>
              <w:t xml:space="preserve">No lost hours; first aid sufficient</w:t>
            </w:r>
          </w:p>
        </w:tc>
        <w:tc>
          <w:tcPr/>
          <w:p>
            <w:pPr>
              <w:pStyle w:val="Compact"/>
              <w:jc w:val="left"/>
            </w:pPr>
            <w:r>
              <w:t xml:space="preserve">1</w:t>
            </w:r>
          </w:p>
        </w:tc>
      </w:tr>
      <w:tr>
        <w:tc>
          <w:tcPr/>
          <w:p>
            <w:pPr>
              <w:pStyle w:val="Compact"/>
              <w:jc w:val="left"/>
            </w:pPr>
            <w:r>
              <w:t xml:space="preserve">Minor</w:t>
            </w:r>
          </w:p>
        </w:tc>
        <w:tc>
          <w:tcPr/>
          <w:p>
            <w:pPr>
              <w:pStyle w:val="Compact"/>
              <w:jc w:val="left"/>
            </w:pPr>
            <w:r>
              <w:t xml:space="preserve">No lost days; first aid or medical treatment needed</w:t>
            </w:r>
          </w:p>
        </w:tc>
        <w:tc>
          <w:tcPr/>
          <w:p>
            <w:pPr>
              <w:pStyle w:val="Compact"/>
              <w:jc w:val="left"/>
            </w:pPr>
            <w:r>
              <w:t xml:space="preserve">2</w:t>
            </w:r>
          </w:p>
        </w:tc>
      </w:tr>
      <w:tr>
        <w:tc>
          <w:tcPr/>
          <w:p>
            <w:pPr>
              <w:pStyle w:val="Compact"/>
              <w:jc w:val="left"/>
            </w:pPr>
            <w:r>
              <w:t xml:space="preserve">Serious</w:t>
            </w:r>
          </w:p>
        </w:tc>
        <w:tc>
          <w:tcPr/>
          <w:p>
            <w:pPr>
              <w:pStyle w:val="Compact"/>
              <w:jc w:val="left"/>
            </w:pPr>
            <w:r>
              <w:t xml:space="preserve">Lost-time accident; minor injury requiring treatment</w:t>
            </w:r>
          </w:p>
        </w:tc>
        <w:tc>
          <w:tcPr/>
          <w:p>
            <w:pPr>
              <w:pStyle w:val="Compact"/>
              <w:jc w:val="left"/>
            </w:pPr>
            <w:r>
              <w:t xml:space="preserve">3</w:t>
            </w:r>
          </w:p>
        </w:tc>
      </w:tr>
      <w:tr>
        <w:tc>
          <w:tcPr/>
          <w:p>
            <w:pPr>
              <w:pStyle w:val="Compact"/>
              <w:jc w:val="left"/>
            </w:pPr>
            <w:r>
              <w:t xml:space="preserve">Very serious</w:t>
            </w:r>
          </w:p>
        </w:tc>
        <w:tc>
          <w:tcPr/>
          <w:p>
            <w:pPr>
              <w:pStyle w:val="Compact"/>
              <w:jc w:val="left"/>
            </w:pPr>
            <w:r>
              <w:t xml:space="preserve">Death, loss of limb, serious injury, occupational disease</w:t>
            </w:r>
          </w:p>
        </w:tc>
        <w:tc>
          <w:tcPr/>
          <w:p>
            <w:pPr>
              <w:pStyle w:val="Compact"/>
              <w:jc w:val="left"/>
            </w:pPr>
            <w:r>
              <w:t xml:space="preserve">4</w:t>
            </w:r>
          </w:p>
        </w:tc>
      </w:tr>
      <w:tr>
        <w:tc>
          <w:tcPr/>
          <w:p>
            <w:pPr>
              <w:pStyle w:val="Compact"/>
              <w:jc w:val="left"/>
            </w:pPr>
            <w:r>
              <w:t xml:space="preserve">Catastrophic</w:t>
            </w:r>
          </w:p>
        </w:tc>
        <w:tc>
          <w:tcPr/>
          <w:p>
            <w:pPr>
              <w:pStyle w:val="Compact"/>
              <w:jc w:val="left"/>
            </w:pPr>
            <w:r>
              <w:t xml:space="preserve">Multiple fatalities</w:t>
            </w:r>
          </w:p>
        </w:tc>
        <w:tc>
          <w:tcPr/>
          <w:p>
            <w:pPr>
              <w:pStyle w:val="Compact"/>
              <w:jc w:val="left"/>
            </w:pPr>
            <w:r>
              <w:t xml:space="preserve">5</w:t>
            </w:r>
          </w:p>
        </w:tc>
      </w:tr>
    </w:tbl>
    <w:p>
      <w:pPr>
        <w:pStyle w:val="BodyText"/>
      </w:pPr>
      <w:r>
        <w:rPr>
          <w:bCs/>
          <w:b/>
        </w:rPr>
        <w:t xml:space="preserve">Table 3 — Risk matrix (RD = RO x RŞ)</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320"/>
        <w:gridCol w:w="1320"/>
        <w:gridCol w:w="1320"/>
        <w:gridCol w:w="1320"/>
        <w:gridCol w:w="1320"/>
        <w:gridCol w:w="1320"/>
      </w:tblGrid>
      <w:tr>
        <w:trPr>
          <w:tblHeader w:val="true"/>
        </w:trPr>
        <w:tc>
          <w:tcPr/>
          <w:p>
            <w:pPr>
              <w:pStyle w:val="Compact"/>
              <w:jc w:val="left"/>
            </w:pPr>
            <w:r>
              <w:rPr>
                <w:b/>
              </w:rPr>
              <w:t xml:space="preserve">Likelihood  Severity</w:t>
            </w:r>
          </w:p>
        </w:tc>
        <w:tc>
          <w:tcPr/>
          <w:p>
            <w:pPr>
              <w:pStyle w:val="Compact"/>
              <w:jc w:val="left"/>
            </w:pPr>
            <w:r>
              <w:rPr>
                <w:b/>
              </w:rPr>
              <w:t xml:space="preserve">1 Very minor</w:t>
            </w:r>
          </w:p>
        </w:tc>
        <w:tc>
          <w:tcPr/>
          <w:p>
            <w:pPr>
              <w:pStyle w:val="Compact"/>
              <w:jc w:val="left"/>
            </w:pPr>
            <w:r>
              <w:rPr>
                <w:b/>
              </w:rPr>
              <w:t xml:space="preserve">2 Minor</w:t>
            </w:r>
          </w:p>
        </w:tc>
        <w:tc>
          <w:tcPr/>
          <w:p>
            <w:pPr>
              <w:pStyle w:val="Compact"/>
              <w:jc w:val="left"/>
            </w:pPr>
            <w:r>
              <w:rPr>
                <w:b/>
              </w:rPr>
              <w:t xml:space="preserve">3 Serious</w:t>
            </w:r>
          </w:p>
        </w:tc>
        <w:tc>
          <w:tcPr/>
          <w:p>
            <w:pPr>
              <w:pStyle w:val="Compact"/>
              <w:jc w:val="left"/>
            </w:pPr>
            <w:r>
              <w:rPr>
                <w:b/>
              </w:rPr>
              <w:t xml:space="preserve">4 Very serious</w:t>
            </w:r>
          </w:p>
        </w:tc>
        <w:tc>
          <w:tcPr/>
          <w:p>
            <w:pPr>
              <w:pStyle w:val="Compact"/>
              <w:jc w:val="left"/>
            </w:pPr>
            <w:r>
              <w:rPr>
                <w:b/>
              </w:rPr>
              <w:t xml:space="preserve">5 Catastrophic</w:t>
            </w:r>
          </w:p>
        </w:tc>
      </w:tr>
      <w:tr>
        <w:tc>
          <w:tcPr/>
          <w:p>
            <w:pPr>
              <w:pStyle w:val="Compact"/>
              <w:jc w:val="left"/>
            </w:pPr>
            <w:r>
              <w:t xml:space="preserve">5 Very likely</w:t>
            </w:r>
          </w:p>
        </w:tc>
        <w:tc>
          <w:tcPr/>
          <w:p>
            <w:pPr>
              <w:pStyle w:val="Compact"/>
              <w:jc w:val="left"/>
            </w:pPr>
            <w:r>
              <w:t xml:space="preserve">5 (C)</w:t>
            </w:r>
          </w:p>
        </w:tc>
        <w:tc>
          <w:tcPr/>
          <w:p>
            <w:pPr>
              <w:pStyle w:val="Compact"/>
              <w:jc w:val="left"/>
            </w:pPr>
            <w:r>
              <w:t xml:space="preserve">10 (B)</w:t>
            </w:r>
          </w:p>
        </w:tc>
        <w:tc>
          <w:tcPr/>
          <w:p>
            <w:pPr>
              <w:pStyle w:val="Compact"/>
              <w:jc w:val="left"/>
            </w:pPr>
            <w:r>
              <w:t xml:space="preserve">15 (A)</w:t>
            </w:r>
          </w:p>
        </w:tc>
        <w:tc>
          <w:tcPr/>
          <w:p>
            <w:pPr>
              <w:pStyle w:val="Compact"/>
              <w:jc w:val="left"/>
            </w:pPr>
            <w:r>
              <w:t xml:space="preserve">20 (A)</w:t>
            </w:r>
          </w:p>
        </w:tc>
        <w:tc>
          <w:tcPr/>
          <w:p>
            <w:pPr>
              <w:pStyle w:val="Compact"/>
              <w:jc w:val="left"/>
            </w:pPr>
            <w:r>
              <w:t xml:space="preserve">25 (A)</w:t>
            </w:r>
          </w:p>
        </w:tc>
      </w:tr>
      <w:tr>
        <w:tc>
          <w:tcPr/>
          <w:p>
            <w:pPr>
              <w:pStyle w:val="Compact"/>
              <w:jc w:val="left"/>
            </w:pPr>
            <w:r>
              <w:t xml:space="preserve">4 Likely</w:t>
            </w:r>
          </w:p>
        </w:tc>
        <w:tc>
          <w:tcPr/>
          <w:p>
            <w:pPr>
              <w:pStyle w:val="Compact"/>
              <w:jc w:val="left"/>
            </w:pPr>
            <w:r>
              <w:t xml:space="preserve">4 (C)</w:t>
            </w:r>
          </w:p>
        </w:tc>
        <w:tc>
          <w:tcPr/>
          <w:p>
            <w:pPr>
              <w:pStyle w:val="Compact"/>
              <w:jc w:val="left"/>
            </w:pPr>
            <w:r>
              <w:t xml:space="preserve">8 (B)</w:t>
            </w:r>
          </w:p>
        </w:tc>
        <w:tc>
          <w:tcPr/>
          <w:p>
            <w:pPr>
              <w:pStyle w:val="Compact"/>
              <w:jc w:val="left"/>
            </w:pPr>
            <w:r>
              <w:t xml:space="preserve">12 (B)</w:t>
            </w:r>
          </w:p>
        </w:tc>
        <w:tc>
          <w:tcPr/>
          <w:p>
            <w:pPr>
              <w:pStyle w:val="Compact"/>
              <w:jc w:val="left"/>
            </w:pPr>
            <w:r>
              <w:t xml:space="preserve">16 (A)</w:t>
            </w:r>
          </w:p>
        </w:tc>
        <w:tc>
          <w:tcPr/>
          <w:p>
            <w:pPr>
              <w:pStyle w:val="Compact"/>
              <w:jc w:val="left"/>
            </w:pPr>
            <w:r>
              <w:t xml:space="preserve">20 (A)</w:t>
            </w:r>
          </w:p>
        </w:tc>
      </w:tr>
      <w:tr>
        <w:tc>
          <w:tcPr/>
          <w:p>
            <w:pPr>
              <w:pStyle w:val="Compact"/>
              <w:jc w:val="left"/>
            </w:pPr>
            <w:r>
              <w:t xml:space="preserve">3 Possible</w:t>
            </w:r>
          </w:p>
        </w:tc>
        <w:tc>
          <w:tcPr/>
          <w:p>
            <w:pPr>
              <w:pStyle w:val="Compact"/>
              <w:jc w:val="left"/>
            </w:pPr>
            <w:r>
              <w:t xml:space="preserve">3 (C)</w:t>
            </w:r>
          </w:p>
        </w:tc>
        <w:tc>
          <w:tcPr/>
          <w:p>
            <w:pPr>
              <w:pStyle w:val="Compact"/>
              <w:jc w:val="left"/>
            </w:pPr>
            <w:r>
              <w:t xml:space="preserve">6 (C)</w:t>
            </w:r>
          </w:p>
        </w:tc>
        <w:tc>
          <w:tcPr/>
          <w:p>
            <w:pPr>
              <w:pStyle w:val="Compact"/>
              <w:jc w:val="left"/>
            </w:pPr>
            <w:r>
              <w:t xml:space="preserve">9 (B)</w:t>
            </w:r>
          </w:p>
        </w:tc>
        <w:tc>
          <w:tcPr/>
          <w:p>
            <w:pPr>
              <w:pStyle w:val="Compact"/>
              <w:jc w:val="left"/>
            </w:pPr>
            <w:r>
              <w:t xml:space="preserve">12 (B)</w:t>
            </w:r>
          </w:p>
        </w:tc>
        <w:tc>
          <w:tcPr/>
          <w:p>
            <w:pPr>
              <w:pStyle w:val="Compact"/>
              <w:jc w:val="left"/>
            </w:pPr>
            <w:r>
              <w:t xml:space="preserve">15 (A)</w:t>
            </w:r>
          </w:p>
        </w:tc>
      </w:tr>
      <w:tr>
        <w:tc>
          <w:tcPr/>
          <w:p>
            <w:pPr>
              <w:pStyle w:val="Compact"/>
              <w:jc w:val="left"/>
            </w:pPr>
            <w:r>
              <w:t xml:space="preserve">2 Unlikely</w:t>
            </w:r>
          </w:p>
        </w:tc>
        <w:tc>
          <w:tcPr/>
          <w:p>
            <w:pPr>
              <w:pStyle w:val="Compact"/>
              <w:jc w:val="left"/>
            </w:pPr>
            <w:r>
              <w:t xml:space="preserve">2 (C)</w:t>
            </w:r>
          </w:p>
        </w:tc>
        <w:tc>
          <w:tcPr/>
          <w:p>
            <w:pPr>
              <w:pStyle w:val="Compact"/>
              <w:jc w:val="left"/>
            </w:pPr>
            <w:r>
              <w:t xml:space="preserve">4 (C)</w:t>
            </w:r>
          </w:p>
        </w:tc>
        <w:tc>
          <w:tcPr/>
          <w:p>
            <w:pPr>
              <w:pStyle w:val="Compact"/>
              <w:jc w:val="left"/>
            </w:pPr>
            <w:r>
              <w:t xml:space="preserve">6 (C)</w:t>
            </w:r>
          </w:p>
        </w:tc>
        <w:tc>
          <w:tcPr/>
          <w:p>
            <w:pPr>
              <w:pStyle w:val="Compact"/>
              <w:jc w:val="left"/>
            </w:pPr>
            <w:r>
              <w:t xml:space="preserve">8 (B)</w:t>
            </w:r>
          </w:p>
        </w:tc>
        <w:tc>
          <w:tcPr/>
          <w:p>
            <w:pPr>
              <w:pStyle w:val="Compact"/>
              <w:jc w:val="left"/>
            </w:pPr>
            <w:r>
              <w:t xml:space="preserve">10 (B)</w:t>
            </w:r>
          </w:p>
        </w:tc>
      </w:tr>
      <w:tr>
        <w:tc>
          <w:tcPr/>
          <w:p>
            <w:pPr>
              <w:pStyle w:val="Compact"/>
              <w:jc w:val="left"/>
            </w:pPr>
            <w:r>
              <w:t xml:space="preserve">1 Very unlikely</w:t>
            </w:r>
          </w:p>
        </w:tc>
        <w:tc>
          <w:tcPr/>
          <w:p>
            <w:pPr>
              <w:pStyle w:val="Compact"/>
              <w:jc w:val="left"/>
            </w:pPr>
            <w:r>
              <w:t xml:space="preserve">1 (C)</w:t>
            </w:r>
          </w:p>
        </w:tc>
        <w:tc>
          <w:tcPr/>
          <w:p>
            <w:pPr>
              <w:pStyle w:val="Compact"/>
              <w:jc w:val="left"/>
            </w:pPr>
            <w:r>
              <w:t xml:space="preserve">2 (C)</w:t>
            </w:r>
          </w:p>
        </w:tc>
        <w:tc>
          <w:tcPr/>
          <w:p>
            <w:pPr>
              <w:pStyle w:val="Compact"/>
              <w:jc w:val="left"/>
            </w:pPr>
            <w:r>
              <w:t xml:space="preserve">3 (C)</w:t>
            </w:r>
          </w:p>
        </w:tc>
        <w:tc>
          <w:tcPr/>
          <w:p>
            <w:pPr>
              <w:pStyle w:val="Compact"/>
              <w:jc w:val="left"/>
            </w:pPr>
            <w:r>
              <w:t xml:space="preserve">4 (C)</w:t>
            </w:r>
          </w:p>
        </w:tc>
        <w:tc>
          <w:tcPr/>
          <w:p>
            <w:pPr>
              <w:pStyle w:val="Compact"/>
              <w:jc w:val="left"/>
            </w:pPr>
            <w:r>
              <w:t xml:space="preserve">5 (C)</w:t>
            </w:r>
          </w:p>
        </w:tc>
      </w:tr>
    </w:tbl>
    <w:p>
      <w:pPr>
        <w:pStyle w:val="BodyText"/>
      </w:pPr>
      <w:r>
        <w:rPr>
          <w:bCs/>
          <w:b/>
        </w:rPr>
        <w:t xml:space="preserve">Table 4 — Action plan</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Risk rating</w:t>
            </w:r>
          </w:p>
        </w:tc>
        <w:tc>
          <w:tcPr/>
          <w:p>
            <w:pPr>
              <w:pStyle w:val="Compact"/>
              <w:jc w:val="left"/>
            </w:pPr>
            <w:r>
              <w:rPr>
                <w:b/>
              </w:rPr>
              <w:t xml:space="preserve">Risk level</w:t>
            </w:r>
          </w:p>
        </w:tc>
        <w:tc>
          <w:tcPr/>
          <w:p>
            <w:pPr>
              <w:pStyle w:val="Compact"/>
              <w:jc w:val="left"/>
            </w:pPr>
            <w:r>
              <w:rPr>
                <w:b/>
              </w:rPr>
              <w:t xml:space="preserve">Action</w:t>
            </w:r>
          </w:p>
        </w:tc>
        <w:tc>
          <w:tcPr/>
          <w:p>
            <w:pPr>
              <w:pStyle w:val="Compact"/>
              <w:jc w:val="left"/>
            </w:pPr>
            <w:r>
              <w:rPr>
                <w:b/>
              </w:rPr>
              <w:t xml:space="preserve">Priority</w:t>
            </w:r>
          </w:p>
        </w:tc>
      </w:tr>
      <w:tr>
        <w:tc>
          <w:tcPr/>
          <w:p>
            <w:pPr>
              <w:pStyle w:val="Compact"/>
              <w:jc w:val="left"/>
            </w:pPr>
            <w:r>
              <w:t xml:space="preserve">15 ≤ RD ≤ 25</w:t>
            </w:r>
          </w:p>
        </w:tc>
        <w:tc>
          <w:tcPr/>
          <w:p>
            <w:pPr>
              <w:pStyle w:val="Compact"/>
              <w:jc w:val="left"/>
            </w:pPr>
            <w:r>
              <w:t xml:space="preserve">Unacceptable</w:t>
            </w:r>
          </w:p>
        </w:tc>
        <w:tc>
          <w:tcPr/>
          <w:p>
            <w:pPr>
              <w:pStyle w:val="Compact"/>
              <w:jc w:val="left"/>
            </w:pPr>
            <w:r>
              <w:t xml:space="preserve">Work must not start until the risk is reduced to an acceptable level; work in progress stops immediately. If the risk cannot be reduced, the activity does not go ahead.</w:t>
            </w:r>
          </w:p>
        </w:tc>
        <w:tc>
          <w:tcPr/>
          <w:p>
            <w:pPr>
              <w:pStyle w:val="Compact"/>
              <w:jc w:val="left"/>
            </w:pPr>
            <w:r>
              <w:t xml:space="preserve">A</w:t>
            </w:r>
          </w:p>
        </w:tc>
      </w:tr>
      <w:tr>
        <w:tc>
          <w:tcPr/>
          <w:p>
            <w:pPr>
              <w:pStyle w:val="Compact"/>
              <w:jc w:val="left"/>
            </w:pPr>
            <w:r>
              <w:t xml:space="preserve">7 ≤ RD ≤ 14</w:t>
            </w:r>
          </w:p>
        </w:tc>
        <w:tc>
          <w:tcPr/>
          <w:p>
            <w:pPr>
              <w:pStyle w:val="Compact"/>
              <w:jc w:val="left"/>
            </w:pPr>
            <w:r>
              <w:t xml:space="preserve">Significant</w:t>
            </w:r>
          </w:p>
        </w:tc>
        <w:tc>
          <w:tcPr/>
          <w:p>
            <w:pPr>
              <w:pStyle w:val="Compact"/>
              <w:jc w:val="left"/>
            </w:pPr>
            <w:r>
              <w:t xml:space="preserve">Act as soon as possible; decide whether the activity continues based on the result.</w:t>
            </w:r>
          </w:p>
        </w:tc>
        <w:tc>
          <w:tcPr/>
          <w:p>
            <w:pPr>
              <w:pStyle w:val="Compact"/>
              <w:jc w:val="left"/>
            </w:pPr>
            <w:r>
              <w:t xml:space="preserve">B</w:t>
            </w:r>
          </w:p>
        </w:tc>
      </w:tr>
      <w:tr>
        <w:tc>
          <w:tcPr/>
          <w:p>
            <w:pPr>
              <w:pStyle w:val="Compact"/>
              <w:jc w:val="left"/>
            </w:pPr>
            <w:r>
              <w:t xml:space="preserve">1 ≤ RD ≤ 6</w:t>
            </w:r>
          </w:p>
        </w:tc>
        <w:tc>
          <w:tcPr/>
          <w:p>
            <w:pPr>
              <w:pStyle w:val="Compact"/>
              <w:jc w:val="left"/>
            </w:pPr>
            <w:r>
              <w:t xml:space="preserve">Acceptable</w:t>
            </w:r>
          </w:p>
        </w:tc>
        <w:tc>
          <w:tcPr/>
          <w:p>
            <w:pPr>
              <w:pStyle w:val="Compact"/>
              <w:jc w:val="left"/>
            </w:pPr>
            <w:r>
              <w:t xml:space="preserve">Additional controls may not be needed; existing controls are maintained and monitored.</w:t>
            </w:r>
          </w:p>
        </w:tc>
        <w:tc>
          <w:tcPr/>
          <w:p>
            <w:pPr>
              <w:pStyle w:val="Compact"/>
              <w:jc w:val="left"/>
            </w:pPr>
            <w:r>
              <w:t xml:space="preserve">C</w:t>
            </w:r>
          </w:p>
        </w:tc>
      </w:tr>
    </w:tbl>
    <w:p>
      <w:pPr>
        <w:pStyle w:val="BodyText"/>
      </w:pPr>
      <w:r>
        <w:t xml:space="preserve">Actions to bring risks to an acceptable level are planned through the CAPA system (CAPA Form, EK-4), and the risk is re-scored once they are complete. Risk assessments are renewed when a new activity, item of equipment, workplace or project begins, when there is a significant change, after a work accident, occupational disease or serious near miss, and at the intervals required by law. Hazards and risks arising from a change are identified before the change is made.</w:t>
      </w:r>
    </w:p>
    <w:bookmarkEnd w:id="30"/>
    <w:bookmarkStart w:id="31" w:name="hierarchy-of-controls"/>
    <w:p>
      <w:pPr>
        <w:pStyle w:val="Heading4"/>
      </w:pPr>
      <w:r>
        <w:t xml:space="preserve">6.2 Hierarchy of controls</w:t>
      </w:r>
    </w:p>
    <w:p>
      <w:pPr>
        <w:pStyle w:val="FirstParagraph"/>
      </w:pPr>
      <w:r>
        <w:t xml:space="preserve">Controls are chosen or changed in this order:</w:t>
      </w:r>
    </w:p>
    <w:p>
      <w:pPr>
        <w:numPr>
          <w:ilvl w:val="0"/>
          <w:numId w:val="1006"/>
        </w:numPr>
        <w:pStyle w:val="Compact"/>
      </w:pPr>
      <w:r>
        <w:t xml:space="preserve">Eliminate the hazard (including at design stage — reducing risks during construction, use and maintenance through architectural design).</w:t>
      </w:r>
    </w:p>
    <w:p>
      <w:pPr>
        <w:numPr>
          <w:ilvl w:val="0"/>
          <w:numId w:val="1006"/>
        </w:numPr>
        <w:pStyle w:val="Compact"/>
      </w:pPr>
      <w:r>
        <w:t xml:space="preserve">Substitute with a less hazardous process, material or equipment.</w:t>
      </w:r>
    </w:p>
    <w:p>
      <w:pPr>
        <w:numPr>
          <w:ilvl w:val="0"/>
          <w:numId w:val="1006"/>
        </w:numPr>
        <w:pStyle w:val="Compact"/>
      </w:pPr>
      <w:r>
        <w:t xml:space="preserve">Engineering controls and reorganisation of work.</w:t>
      </w:r>
    </w:p>
    <w:p>
      <w:pPr>
        <w:numPr>
          <w:ilvl w:val="0"/>
          <w:numId w:val="1006"/>
        </w:numPr>
        <w:pStyle w:val="Compact"/>
      </w:pPr>
      <w:r>
        <w:t xml:space="preserve">Signs, warnings, training and other administrative controls.</w:t>
      </w:r>
    </w:p>
    <w:p>
      <w:pPr>
        <w:numPr>
          <w:ilvl w:val="0"/>
          <w:numId w:val="1006"/>
        </w:numPr>
        <w:pStyle w:val="Compact"/>
      </w:pPr>
      <w:r>
        <w:t xml:space="preserve">Personal protective equipment (PPE).</w:t>
      </w:r>
    </w:p>
    <w:p>
      <w:pPr>
        <w:pStyle w:val="FirstParagraph"/>
      </w:pPr>
      <w:r>
        <w:t xml:space="preserve">Risks requiring PPE are identified by body area on the PPE Risk Assessment Table (F.10.01); the PPE required for each department and project is set out in the PPE Plan (F.10.02) and issued free of charge using the PPE Issue Form (F.10.03). Ergonomic risks in office work, such as display screens, seating and lighting, are assessed in the same way.</w:t>
      </w:r>
    </w:p>
    <w:bookmarkEnd w:id="31"/>
    <w:bookmarkStart w:id="32" w:name="legal-and-other-requirements"/>
    <w:p>
      <w:pPr>
        <w:pStyle w:val="Heading4"/>
      </w:pPr>
      <w:r>
        <w:t xml:space="preserve">6.3 Legal and other requirements</w:t>
      </w:r>
    </w:p>
    <w:p>
      <w:pPr>
        <w:pStyle w:val="FirstParagraph"/>
      </w:pPr>
      <w:r>
        <w:t xml:space="preserve">SP Architects identifies the legal and other OHS requirements that apply to it — ISO 45001:2018, its UN Global Compact commitments and OHS clauses in client and project specifications — and records them on the OHS Legal Information and Compliance Form (F.10.08). The MR tracks legislative changes through official sources (www.mevzuat.gov.tr), updates the system and informs employees and interested parties.</w:t>
      </w:r>
    </w:p>
    <w:bookmarkEnd w:id="32"/>
    <w:bookmarkStart w:id="33" w:name="objectives-and-programmes"/>
    <w:p>
      <w:pPr>
        <w:pStyle w:val="Heading4"/>
      </w:pPr>
      <w:r>
        <w:t xml:space="preserve">6.4 Objectives and programmes</w:t>
      </w:r>
    </w:p>
    <w:p>
      <w:pPr>
        <w:pStyle w:val="FirstParagraph"/>
      </w:pPr>
      <w:r>
        <w:t xml:space="preserve">Top Management sets measurable OHS objectives for each department, linked to Policy 7, and records them on the Objective Tracking Form [code]. Objectives take account of technological and financial means, interested parties' views, legal requirements and OHS risks. For each objective the form sets out the responsible department, authority, resources, tools and timetable. Objectives are reviewed at every management review and, as a minimum, track: number and frequency rate of lost-time accidents, number of near-miss reports, OHS training hours per employee and CAPA close-out rate.</w:t>
      </w:r>
    </w:p>
    <w:bookmarkEnd w:id="33"/>
    <w:bookmarkEnd w:id="34"/>
    <w:bookmarkStart w:id="39" w:name="support"/>
    <w:p>
      <w:pPr>
        <w:pStyle w:val="Heading3"/>
      </w:pPr>
      <w:r>
        <w:t xml:space="preserve">7. Support</w:t>
      </w:r>
    </w:p>
    <w:bookmarkStart w:id="35" w:name="resources"/>
    <w:p>
      <w:pPr>
        <w:pStyle w:val="Heading4"/>
      </w:pPr>
      <w:r>
        <w:t xml:space="preserve">7.1 Resources</w:t>
      </w:r>
    </w:p>
    <w:p>
      <w:pPr>
        <w:pStyle w:val="FirstParagraph"/>
      </w:pPr>
      <w:r>
        <w:t xml:space="preserve">Top Management provides the resources needed to establish, implement and improve the OHS Management System, including OHS specialist and occupational physician services, training, PPE, equipment and budget.</w:t>
      </w:r>
    </w:p>
    <w:bookmarkEnd w:id="35"/>
    <w:bookmarkStart w:id="36" w:name="competence-training-and-awareness"/>
    <w:p>
      <w:pPr>
        <w:pStyle w:val="Heading4"/>
      </w:pPr>
      <w:r>
        <w:t xml:space="preserve">7.2 Competence, training and awareness</w:t>
      </w:r>
    </w:p>
    <w:p>
      <w:pPr>
        <w:pStyle w:val="FirstParagraph"/>
      </w:pPr>
      <w:r>
        <w:t xml:space="preserve">SP Architects ensures that everyone performing tasks that can affect OHS is competent through appropriate education, training or experience. Training needs are identified from the risk assessment and job descriptions, and an annual training plan is prepared and delivered in line with Law No. 6331 and the Regulation on the Procedures and Principles of Employees' OHS Training (Çalışanların İş Sağlığı ve Güvenliği Eğitimlerinin Usul ve Esasları Yönetmeliği), during working hours and at no cost to the employee. Training effectiveness is evaluated, and records including participants, hours and gender are kept on personnel files. Employees are made aware of:</w:t>
      </w:r>
    </w:p>
    <w:p>
      <w:pPr>
        <w:numPr>
          <w:ilvl w:val="0"/>
          <w:numId w:val="1007"/>
        </w:numPr>
        <w:pStyle w:val="Compact"/>
      </w:pPr>
      <w:r>
        <w:t xml:space="preserve">the OHS consequences of their activities and behaviour;</w:t>
      </w:r>
    </w:p>
    <w:p>
      <w:pPr>
        <w:numPr>
          <w:ilvl w:val="0"/>
          <w:numId w:val="1007"/>
        </w:numPr>
        <w:pStyle w:val="Compact"/>
      </w:pPr>
      <w:r>
        <w:t xml:space="preserve">emergency preparedness and response;</w:t>
      </w:r>
    </w:p>
    <w:p>
      <w:pPr>
        <w:numPr>
          <w:ilvl w:val="0"/>
          <w:numId w:val="1007"/>
        </w:numPr>
        <w:pStyle w:val="Compact"/>
      </w:pPr>
      <w:r>
        <w:t xml:space="preserve">Policy 7, this procedure and related instructions;</w:t>
      </w:r>
    </w:p>
    <w:p>
      <w:pPr>
        <w:numPr>
          <w:ilvl w:val="0"/>
          <w:numId w:val="1007"/>
        </w:numPr>
        <w:pStyle w:val="Compact"/>
      </w:pPr>
      <w:r>
        <w:t xml:space="preserve">their roles and responsibilities within the OHS Management System;</w:t>
      </w:r>
    </w:p>
    <w:p>
      <w:pPr>
        <w:numPr>
          <w:ilvl w:val="0"/>
          <w:numId w:val="1007"/>
        </w:numPr>
        <w:pStyle w:val="Compact"/>
      </w:pPr>
      <w:r>
        <w:t xml:space="preserve">the potential consequences of departing from procedures;</w:t>
      </w:r>
    </w:p>
    <w:p>
      <w:pPr>
        <w:numPr>
          <w:ilvl w:val="0"/>
          <w:numId w:val="1007"/>
        </w:numPr>
        <w:pStyle w:val="Compact"/>
      </w:pPr>
      <w:r>
        <w:t xml:space="preserve">the right to stop work, near-miss reporting and the speak-up channel.</w:t>
      </w:r>
    </w:p>
    <w:p>
      <w:pPr>
        <w:pStyle w:val="FirstParagraph"/>
      </w:pPr>
      <w:r>
        <w:t xml:space="preserve">Training is tailored to each person's responsibilities, abilities, knowledge, language and the risk level of their work.</w:t>
      </w:r>
    </w:p>
    <w:bookmarkEnd w:id="36"/>
    <w:bookmarkStart w:id="37" w:name="communication"/>
    <w:p>
      <w:pPr>
        <w:pStyle w:val="Heading4"/>
      </w:pPr>
      <w:r>
        <w:t xml:space="preserve">7.3 Communication</w:t>
      </w:r>
    </w:p>
    <w:p>
      <w:pPr>
        <w:pStyle w:val="FirstParagraph"/>
      </w:pPr>
      <w:r>
        <w:t xml:space="preserve">SP Architects maintains internal communication between departments, communication with contractors and visitors, and the receipt, recording and answering of OHS communications from external parties. External channels are kept open and followed up by the MR. Where appropriate, external parties (for example the client, site coordinator or external OHS service provider) are consulted.</w:t>
      </w:r>
    </w:p>
    <w:bookmarkEnd w:id="37"/>
    <w:bookmarkStart w:id="38" w:name="documented-information"/>
    <w:p>
      <w:pPr>
        <w:pStyle w:val="Heading4"/>
      </w:pPr>
      <w:r>
        <w:t xml:space="preserve">7.4 Documented information</w:t>
      </w:r>
    </w:p>
    <w:p>
      <w:pPr>
        <w:pStyle w:val="FirstParagraph"/>
      </w:pPr>
      <w:r>
        <w:t xml:space="preserve">The OHS Management System includes, as a minimum:</w:t>
      </w:r>
    </w:p>
    <w:p>
      <w:pPr>
        <w:numPr>
          <w:ilvl w:val="0"/>
          <w:numId w:val="1008"/>
        </w:numPr>
        <w:pStyle w:val="Compact"/>
      </w:pPr>
      <w:r>
        <w:t xml:space="preserve">Policy 7 — Health, Safety and Wellbeing;</w:t>
      </w:r>
    </w:p>
    <w:p>
      <w:pPr>
        <w:numPr>
          <w:ilvl w:val="0"/>
          <w:numId w:val="1008"/>
        </w:numPr>
        <w:pStyle w:val="Compact"/>
      </w:pPr>
      <w:r>
        <w:t xml:space="preserve">OHS objectives (Objective Tracking Form);</w:t>
      </w:r>
    </w:p>
    <w:p>
      <w:pPr>
        <w:numPr>
          <w:ilvl w:val="0"/>
          <w:numId w:val="1008"/>
        </w:numPr>
        <w:pStyle w:val="Compact"/>
      </w:pPr>
      <w:r>
        <w:t xml:space="preserve">the scope and elements of the OHS Management System (this procedure, P.10);</w:t>
      </w:r>
    </w:p>
    <w:p>
      <w:pPr>
        <w:numPr>
          <w:ilvl w:val="0"/>
          <w:numId w:val="1008"/>
        </w:numPr>
        <w:pStyle w:val="Compact"/>
      </w:pPr>
      <w:r>
        <w:t xml:space="preserve">Document and Record Control Procedure (P.01) — documents, records and tracking of legal requirements;</w:t>
      </w:r>
    </w:p>
    <w:p>
      <w:pPr>
        <w:numPr>
          <w:ilvl w:val="0"/>
          <w:numId w:val="1008"/>
        </w:numPr>
        <w:pStyle w:val="Compact"/>
      </w:pPr>
      <w:r>
        <w:t xml:space="preserve">Corrective and Preventive Action Procedure (P.03) and CAPA Form (EK-4) — nonconformities and incidents;</w:t>
      </w:r>
    </w:p>
    <w:p>
      <w:pPr>
        <w:numPr>
          <w:ilvl w:val="0"/>
          <w:numId w:val="1008"/>
        </w:numPr>
        <w:pStyle w:val="Compact"/>
      </w:pPr>
      <w:r>
        <w:t xml:space="preserve">Internal Audit Procedure (P.04);</w:t>
      </w:r>
    </w:p>
    <w:p>
      <w:pPr>
        <w:numPr>
          <w:ilvl w:val="0"/>
          <w:numId w:val="1008"/>
        </w:numPr>
        <w:pStyle w:val="Compact"/>
      </w:pPr>
      <w:r>
        <w:t xml:space="preserve">Work Accident and Occupational Disease Procedure (EK-2) — recording, investigating and analysing incidents;</w:t>
      </w:r>
    </w:p>
    <w:p>
      <w:pPr>
        <w:numPr>
          <w:ilvl w:val="0"/>
          <w:numId w:val="1008"/>
        </w:numPr>
        <w:pStyle w:val="Compact"/>
      </w:pPr>
      <w:r>
        <w:t xml:space="preserve">Emergency Action Plan (F.10.09);</w:t>
      </w:r>
    </w:p>
    <w:p>
      <w:pPr>
        <w:numPr>
          <w:ilvl w:val="0"/>
          <w:numId w:val="1008"/>
        </w:numPr>
        <w:pStyle w:val="Compact"/>
      </w:pPr>
      <w:r>
        <w:t xml:space="preserve">OHS Hazard Identification and Risk Analysis Form (F.10.04);</w:t>
      </w:r>
    </w:p>
    <w:p>
      <w:pPr>
        <w:numPr>
          <w:ilvl w:val="0"/>
          <w:numId w:val="1008"/>
        </w:numPr>
        <w:pStyle w:val="Compact"/>
      </w:pPr>
      <w:r>
        <w:t xml:space="preserve">the procedure covering OHS training (Corporate Management Procedure, P.06).</w:t>
      </w:r>
    </w:p>
    <w:p>
      <w:pPr>
        <w:pStyle w:val="FirstParagraph"/>
      </w:pPr>
      <w:r>
        <w:t xml:space="preserve">Documents are prepared, approved, distributed, revised and reissued under P.01. Records are stored, traced, made accessible and archived under P.01; personal health data are kept confidential in line with Policy 10 — Data Protection and Information Security.</w:t>
      </w:r>
    </w:p>
    <w:bookmarkEnd w:id="38"/>
    <w:bookmarkEnd w:id="39"/>
    <w:bookmarkStart w:id="44" w:name="operation"/>
    <w:p>
      <w:pPr>
        <w:pStyle w:val="Heading3"/>
      </w:pPr>
      <w:r>
        <w:t xml:space="preserve">8. Operation</w:t>
      </w:r>
    </w:p>
    <w:bookmarkStart w:id="40" w:name="operational-planning-and-control"/>
    <w:p>
      <w:pPr>
        <w:pStyle w:val="Heading4"/>
      </w:pPr>
      <w:r>
        <w:t xml:space="preserve">8.1 Operational planning and control</w:t>
      </w:r>
    </w:p>
    <w:p>
      <w:pPr>
        <w:pStyle w:val="FirstParagraph"/>
      </w:pPr>
      <w:r>
        <w:t xml:space="preserve">Work instructions are prepared and applied for activities that the risk assessment shows need controls, and the checks carried out are recorded on the OHS Activity Inspection Form (F.10.05). Arrangements are defined for maintenance, vehicle use and drivers, site visits and construction work so that hazards are prevented before they arise and risks are removed at source. Health surveillance is carried out by the occupational physician and tracked on the OHS Medical Examination Log (F.10.06).</w:t>
      </w:r>
    </w:p>
    <w:bookmarkEnd w:id="40"/>
    <w:bookmarkStart w:id="41" w:name="management-of-change"/>
    <w:p>
      <w:pPr>
        <w:pStyle w:val="Heading4"/>
      </w:pPr>
      <w:r>
        <w:t xml:space="preserve">8.2 Management of change</w:t>
      </w:r>
    </w:p>
    <w:p>
      <w:pPr>
        <w:pStyle w:val="FirstParagraph"/>
      </w:pPr>
      <w:r>
        <w:t xml:space="preserve">Before any new office, site, equipment, material, process or change in work organisation is introduced, the existing hazard and risk analyses are reviewed and employees are consulted.</w:t>
      </w:r>
    </w:p>
    <w:bookmarkEnd w:id="41"/>
    <w:bookmarkStart w:id="42" w:name="procurement-contractors-and-outsourcing"/>
    <w:p>
      <w:pPr>
        <w:pStyle w:val="Heading4"/>
      </w:pPr>
      <w:r>
        <w:t xml:space="preserve">8.3 Procurement, contractors and outsourcing</w:t>
      </w:r>
    </w:p>
    <w:p>
      <w:pPr>
        <w:pStyle w:val="FirstParagraph"/>
      </w:pPr>
      <w:r>
        <w:t xml:space="preserve">OHS requirements for purchased goods and services are set under Policy 2 — Sustainable Procurement. Contractors, sub-contractors and sub-consultants are assessed against Policy 8 — Supplier and Sub-consultant Code of Conduct and SP Architects' OHS requirements at selection and throughout the work; before starting they are briefed on site-specific risks and rules, and activities in shared areas are coordinated. SP Architects seeks to promote good OHS practice throughout its supply chain.</w:t>
      </w:r>
    </w:p>
    <w:bookmarkEnd w:id="42"/>
    <w:bookmarkStart w:id="43" w:name="emergency-preparedness-and-response"/>
    <w:p>
      <w:pPr>
        <w:pStyle w:val="Heading4"/>
      </w:pPr>
      <w:r>
        <w:t xml:space="preserve">8.4 Emergency preparedness and response</w:t>
      </w:r>
    </w:p>
    <w:p>
      <w:pPr>
        <w:pStyle w:val="FirstParagraph"/>
      </w:pPr>
      <w:r>
        <w:t xml:space="preserve">Potential emergencies (fire, earthquake, flood, explosion, incidents requiring first aid, evacuation), their likelihood, the actions to take and those responsible are set out in the Emergency Action Plan (F.10.09). The plan is applied to each office and site, including support teams, drills and the evacuation of disabled employees and visitors, and is tested regularly.</w:t>
      </w:r>
    </w:p>
    <w:bookmarkEnd w:id="43"/>
    <w:bookmarkEnd w:id="44"/>
    <w:bookmarkStart w:id="49" w:name="performance-evaluation"/>
    <w:p>
      <w:pPr>
        <w:pStyle w:val="Heading3"/>
      </w:pPr>
      <w:r>
        <w:t xml:space="preserve">9. Performance Evaluation</w:t>
      </w:r>
    </w:p>
    <w:bookmarkStart w:id="45" w:name="monitoring-and-measurement"/>
    <w:p>
      <w:pPr>
        <w:pStyle w:val="Heading4"/>
      </w:pPr>
      <w:r>
        <w:t xml:space="preserve">9.1 Monitoring and measurement</w:t>
      </w:r>
    </w:p>
    <w:p>
      <w:pPr>
        <w:pStyle w:val="FirstParagraph"/>
      </w:pPr>
      <w:r>
        <w:t xml:space="preserve">OHS performance is monitored continuously through the following, and the MR reports the results to Top Management at management review:</w:t>
      </w:r>
    </w:p>
    <w:p>
      <w:pPr>
        <w:numPr>
          <w:ilvl w:val="0"/>
          <w:numId w:val="1009"/>
        </w:numPr>
        <w:pStyle w:val="Compact"/>
      </w:pPr>
      <w:r>
        <w:t xml:space="preserve">achievement of OHS objectives (Objective Tracking Form);</w:t>
      </w:r>
    </w:p>
    <w:p>
      <w:pPr>
        <w:numPr>
          <w:ilvl w:val="0"/>
          <w:numId w:val="1009"/>
        </w:numPr>
        <w:pStyle w:val="Compact"/>
      </w:pPr>
      <w:r>
        <w:t xml:space="preserve">operational inspections (OHS Activity Inspection Form, F.10.05);</w:t>
      </w:r>
    </w:p>
    <w:p>
      <w:pPr>
        <w:numPr>
          <w:ilvl w:val="0"/>
          <w:numId w:val="1009"/>
        </w:numPr>
        <w:pStyle w:val="Compact"/>
      </w:pPr>
      <w:r>
        <w:t xml:space="preserve">internal audit reports (Internal Audit Report, F.04.03);</w:t>
      </w:r>
    </w:p>
    <w:p>
      <w:pPr>
        <w:numPr>
          <w:ilvl w:val="0"/>
          <w:numId w:val="1009"/>
        </w:numPr>
        <w:pStyle w:val="Compact"/>
      </w:pPr>
      <w:r>
        <w:t xml:space="preserve">compliance with legal and other requirements (F.10.08);</w:t>
      </w:r>
    </w:p>
    <w:p>
      <w:pPr>
        <w:numPr>
          <w:ilvl w:val="0"/>
          <w:numId w:val="1009"/>
        </w:numPr>
        <w:pStyle w:val="Compact"/>
      </w:pPr>
      <w:r>
        <w:t xml:space="preserve">work accidents, occupational diseases, damage-only events and near misses (Work Accident Log, F.10.07; Work Accident and Occupational Disease Procedure, EK-2);</w:t>
      </w:r>
    </w:p>
    <w:p>
      <w:pPr>
        <w:numPr>
          <w:ilvl w:val="0"/>
          <w:numId w:val="1009"/>
        </w:numPr>
        <w:pStyle w:val="Compact"/>
      </w:pPr>
      <w:r>
        <w:t xml:space="preserve">PPE issue and use (PPE Issue Form, F.10.03);</w:t>
      </w:r>
    </w:p>
    <w:p>
      <w:pPr>
        <w:numPr>
          <w:ilvl w:val="0"/>
          <w:numId w:val="1009"/>
        </w:numPr>
        <w:pStyle w:val="Compact"/>
      </w:pPr>
      <w:r>
        <w:t xml:space="preserve">health surveillance results (F.10.06).</w:t>
      </w:r>
    </w:p>
    <w:p>
      <w:pPr>
        <w:pStyle w:val="FirstParagraph"/>
      </w:pPr>
      <w:r>
        <w:t xml:space="preserve">Records are kept so that they support CAPA analysis and SP Architects' annual UN Global Compact Communication on Progress (CoP).</w:t>
      </w:r>
    </w:p>
    <w:bookmarkEnd w:id="45"/>
    <w:bookmarkStart w:id="46" w:name="evaluation-of-compliance"/>
    <w:p>
      <w:pPr>
        <w:pStyle w:val="Heading4"/>
      </w:pPr>
      <w:r>
        <w:t xml:space="preserve">9.2 Evaluation of compliance</w:t>
      </w:r>
    </w:p>
    <w:p>
      <w:pPr>
        <w:pStyle w:val="FirstParagraph"/>
      </w:pPr>
      <w:r>
        <w:t xml:space="preserve">Compliance with legal requirements and other requirements SP Architects has committed to is evaluated together, periodically, using F.10.08. Frequency may vary with the nature of each requirement; results are kept by the MR and CAPA is raised for any nonconformity.</w:t>
      </w:r>
    </w:p>
    <w:bookmarkEnd w:id="46"/>
    <w:bookmarkStart w:id="47" w:name="internal-audit"/>
    <w:p>
      <w:pPr>
        <w:pStyle w:val="Heading4"/>
      </w:pPr>
      <w:r>
        <w:t xml:space="preserve">9.3 Internal audit</w:t>
      </w:r>
    </w:p>
    <w:p>
      <w:pPr>
        <w:pStyle w:val="FirstParagraph"/>
      </w:pPr>
      <w:r>
        <w:t xml:space="preserve">The OHS Management System is audited at planned intervals under the Internal Audit Procedure (P.04) for conformity with ISO 45001:2018 and the law, effective implementation, and the effectiveness of the policy and objectives. Each audit reviews previous results, and findings are reported to Top Management.</w:t>
      </w:r>
    </w:p>
    <w:bookmarkEnd w:id="47"/>
    <w:bookmarkStart w:id="48" w:name="management-review"/>
    <w:p>
      <w:pPr>
        <w:pStyle w:val="Heading4"/>
      </w:pPr>
      <w:r>
        <w:t xml:space="preserve">9.4 Management review</w:t>
      </w:r>
    </w:p>
    <w:p>
      <w:pPr>
        <w:pStyle w:val="FirstParagraph"/>
      </w:pPr>
      <w:r>
        <w:t xml:space="preserve">Top Management reviews the suitability, adequacy and effectiveness of the OHS Management System at least once a year and records it in the Management Review Meeting Minutes. The agenda covers at least: status of previous actions, changes in context and interested parties' expectations, achievement of objectives, incident and near-miss statistics, audit and compliance results, input from worker consultation and participation, resource needs and opportunities for improvement.</w:t>
      </w:r>
    </w:p>
    <w:bookmarkEnd w:id="48"/>
    <w:bookmarkEnd w:id="49"/>
    <w:bookmarkStart w:id="53" w:name="improvement"/>
    <w:p>
      <w:pPr>
        <w:pStyle w:val="Heading3"/>
      </w:pPr>
      <w:r>
        <w:t xml:space="preserve">10. Improvement</w:t>
      </w:r>
    </w:p>
    <w:bookmarkStart w:id="50" w:name="incident-investigation"/>
    <w:p>
      <w:pPr>
        <w:pStyle w:val="Heading4"/>
      </w:pPr>
      <w:r>
        <w:t xml:space="preserve">10.1 Incident investigation</w:t>
      </w:r>
    </w:p>
    <w:p>
      <w:pPr>
        <w:pStyle w:val="FirstParagraph"/>
      </w:pPr>
      <w:r>
        <w:t xml:space="preserve">Work accidents, occupational diseases and near misses are recorded, investigated and analysed under the Work Accident and Occupational Disease Procedure (EK-2). The aim is not to find someone to blame but to:</w:t>
      </w:r>
    </w:p>
    <w:p>
      <w:pPr>
        <w:numPr>
          <w:ilvl w:val="0"/>
          <w:numId w:val="1010"/>
        </w:numPr>
        <w:pStyle w:val="Compact"/>
      </w:pPr>
      <w:r>
        <w:t xml:space="preserve">identify OHS deficiencies and other root causes that caused or contributed to the event;</w:t>
      </w:r>
    </w:p>
    <w:p>
      <w:pPr>
        <w:numPr>
          <w:ilvl w:val="0"/>
          <w:numId w:val="1010"/>
        </w:numPr>
        <w:pStyle w:val="Compact"/>
      </w:pPr>
      <w:r>
        <w:t xml:space="preserve">identify the need for corrective action and opportunities for preventive action;</w:t>
      </w:r>
    </w:p>
    <w:p>
      <w:pPr>
        <w:numPr>
          <w:ilvl w:val="0"/>
          <w:numId w:val="1010"/>
        </w:numPr>
        <w:pStyle w:val="Compact"/>
      </w:pPr>
      <w:r>
        <w:t xml:space="preserve">identify opportunities for continual improvement;</w:t>
      </w:r>
    </w:p>
    <w:p>
      <w:pPr>
        <w:numPr>
          <w:ilvl w:val="0"/>
          <w:numId w:val="1010"/>
        </w:numPr>
        <w:pStyle w:val="Compact"/>
      </w:pPr>
      <w:r>
        <w:t xml:space="preserve">share the lessons learned with employees.</w:t>
      </w:r>
    </w:p>
    <w:p>
      <w:pPr>
        <w:pStyle w:val="FirstParagraph"/>
      </w:pPr>
      <w:r>
        <w:t xml:space="preserve">The relevant department manager is responsible for timely investigation, with the participation of the OHS specialist and the employee representative.</w:t>
      </w:r>
    </w:p>
    <w:bookmarkEnd w:id="50"/>
    <w:bookmarkStart w:id="51" w:name="nonconformity-and-corrective-action"/>
    <w:p>
      <w:pPr>
        <w:pStyle w:val="Heading4"/>
      </w:pPr>
      <w:r>
        <w:t xml:space="preserve">10.2 Nonconformity and corrective action</w:t>
      </w:r>
    </w:p>
    <w:p>
      <w:pPr>
        <w:pStyle w:val="FirstParagraph"/>
      </w:pPr>
      <w:r>
        <w:t xml:space="preserve">Actual and potential nonconformities are managed through the Corrective and Preventive Action Procedure (P.03) and CAPA Form (EK-4):</w:t>
      </w:r>
    </w:p>
    <w:p>
      <w:pPr>
        <w:numPr>
          <w:ilvl w:val="0"/>
          <w:numId w:val="1011"/>
        </w:numPr>
        <w:pStyle w:val="Compact"/>
      </w:pPr>
      <w:r>
        <w:t xml:space="preserve">Identify the nonconformity and take immediate action to limit its OHS impact.</w:t>
      </w:r>
    </w:p>
    <w:p>
      <w:pPr>
        <w:numPr>
          <w:ilvl w:val="0"/>
          <w:numId w:val="1011"/>
        </w:numPr>
        <w:pStyle w:val="Compact"/>
      </w:pPr>
      <w:r>
        <w:t xml:space="preserve">Investigate the root cause and plan action to prevent recurrence.</w:t>
      </w:r>
    </w:p>
    <w:p>
      <w:pPr>
        <w:numPr>
          <w:ilvl w:val="0"/>
          <w:numId w:val="1011"/>
        </w:numPr>
        <w:pStyle w:val="Compact"/>
      </w:pPr>
      <w:r>
        <w:t xml:space="preserve">If the proposed action introduces a new hazard, put it through risk assessment before implementation.</w:t>
      </w:r>
    </w:p>
    <w:p>
      <w:pPr>
        <w:numPr>
          <w:ilvl w:val="0"/>
          <w:numId w:val="1011"/>
        </w:numPr>
        <w:pStyle w:val="Compact"/>
      </w:pPr>
      <w:r>
        <w:t xml:space="preserve">Implement action proportionate to the scale of the problem and the OHS risk.</w:t>
      </w:r>
    </w:p>
    <w:p>
      <w:pPr>
        <w:numPr>
          <w:ilvl w:val="0"/>
          <w:numId w:val="1011"/>
        </w:numPr>
        <w:pStyle w:val="Compact"/>
      </w:pPr>
      <w:r>
        <w:t xml:space="preserve">Record the results and communicate them to those concerned and to the employee representative.</w:t>
      </w:r>
    </w:p>
    <w:p>
      <w:pPr>
        <w:numPr>
          <w:ilvl w:val="0"/>
          <w:numId w:val="1011"/>
        </w:numPr>
        <w:pStyle w:val="Compact"/>
      </w:pPr>
      <w:r>
        <w:t xml:space="preserve">Review the effectiveness of the action and update OHS documentation as needed.</w:t>
      </w:r>
    </w:p>
    <w:bookmarkEnd w:id="51"/>
    <w:bookmarkStart w:id="52" w:name="continual-improvement"/>
    <w:p>
      <w:pPr>
        <w:pStyle w:val="Heading4"/>
      </w:pPr>
      <w:r>
        <w:t xml:space="preserve">10.3 Continual improvement</w:t>
      </w:r>
    </w:p>
    <w:p>
      <w:pPr>
        <w:pStyle w:val="FirstParagraph"/>
      </w:pPr>
      <w:r>
        <w:t xml:space="preserve">SP Architects continually improves its OHS performance through its policy, objectives, audit results, incident analysis, CAPA, employee suggestions and management review decisions, and reports the results publicly in its UN Global Compact CoP.</w:t>
      </w:r>
    </w:p>
    <w:bookmarkEnd w:id="52"/>
    <w:bookmarkEnd w:id="53"/>
    <w:bookmarkStart w:id="54" w:name="related-documents-and-forms"/>
    <w:p>
      <w:pPr>
        <w:pStyle w:val="Heading3"/>
      </w:pPr>
      <w:r>
        <w:t xml:space="preserve">11. Related Documents and Forms</w:t>
      </w:r>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3960"/>
        <w:gridCol w:w="3960"/>
      </w:tblGrid>
      <w:tr>
        <w:trPr>
          <w:tblHeader w:val="true"/>
        </w:trPr>
        <w:tc>
          <w:tcPr/>
          <w:p>
            <w:pPr>
              <w:pStyle w:val="Compact"/>
              <w:jc w:val="left"/>
            </w:pPr>
            <w:r>
              <w:rPr>
                <w:b/>
              </w:rPr>
              <w:t xml:space="preserve">Document / Form</w:t>
            </w:r>
          </w:p>
        </w:tc>
        <w:tc>
          <w:tcPr/>
          <w:p>
            <w:pPr>
              <w:pStyle w:val="Compact"/>
              <w:jc w:val="left"/>
            </w:pPr>
            <w:r>
              <w:rPr>
                <w:b/>
              </w:rPr>
              <w:t xml:space="preserve">Code</w:t>
            </w:r>
          </w:p>
        </w:tc>
      </w:tr>
      <w:tr>
        <w:tc>
          <w:tcPr/>
          <w:p>
            <w:pPr>
              <w:pStyle w:val="Compact"/>
              <w:jc w:val="left"/>
            </w:pPr>
            <w:r>
              <w:t xml:space="preserve">PPE Risk Assessment Table</w:t>
            </w:r>
          </w:p>
        </w:tc>
        <w:tc>
          <w:tcPr/>
          <w:p>
            <w:pPr>
              <w:pStyle w:val="Compact"/>
              <w:jc w:val="left"/>
            </w:pPr>
            <w:r>
              <w:t xml:space="preserve">F.10.01</w:t>
            </w:r>
          </w:p>
        </w:tc>
      </w:tr>
      <w:tr>
        <w:tc>
          <w:tcPr/>
          <w:p>
            <w:pPr>
              <w:pStyle w:val="Compact"/>
              <w:jc w:val="left"/>
            </w:pPr>
            <w:r>
              <w:t xml:space="preserve">PPE Plan</w:t>
            </w:r>
          </w:p>
        </w:tc>
        <w:tc>
          <w:tcPr/>
          <w:p>
            <w:pPr>
              <w:pStyle w:val="Compact"/>
              <w:jc w:val="left"/>
            </w:pPr>
            <w:r>
              <w:t xml:space="preserve">F.10.02</w:t>
            </w:r>
          </w:p>
        </w:tc>
      </w:tr>
      <w:tr>
        <w:tc>
          <w:tcPr/>
          <w:p>
            <w:pPr>
              <w:pStyle w:val="Compact"/>
              <w:jc w:val="left"/>
            </w:pPr>
            <w:r>
              <w:t xml:space="preserve">PPE Issue Form</w:t>
            </w:r>
          </w:p>
        </w:tc>
        <w:tc>
          <w:tcPr/>
          <w:p>
            <w:pPr>
              <w:pStyle w:val="Compact"/>
              <w:jc w:val="left"/>
            </w:pPr>
            <w:r>
              <w:t xml:space="preserve">F.10.03</w:t>
            </w:r>
          </w:p>
        </w:tc>
      </w:tr>
      <w:tr>
        <w:tc>
          <w:tcPr/>
          <w:p>
            <w:pPr>
              <w:pStyle w:val="Compact"/>
              <w:jc w:val="left"/>
            </w:pPr>
            <w:r>
              <w:t xml:space="preserve">OHS Hazard Identification and Risk Analysis Form</w:t>
            </w:r>
          </w:p>
        </w:tc>
        <w:tc>
          <w:tcPr/>
          <w:p>
            <w:pPr>
              <w:pStyle w:val="Compact"/>
              <w:jc w:val="left"/>
            </w:pPr>
            <w:r>
              <w:t xml:space="preserve">F.10.04</w:t>
            </w:r>
          </w:p>
        </w:tc>
      </w:tr>
      <w:tr>
        <w:tc>
          <w:tcPr/>
          <w:p>
            <w:pPr>
              <w:pStyle w:val="Compact"/>
              <w:jc w:val="left"/>
            </w:pPr>
            <w:r>
              <w:t xml:space="preserve">OHS Activity Inspection Form</w:t>
            </w:r>
          </w:p>
        </w:tc>
        <w:tc>
          <w:tcPr/>
          <w:p>
            <w:pPr>
              <w:pStyle w:val="Compact"/>
              <w:jc w:val="left"/>
            </w:pPr>
            <w:r>
              <w:t xml:space="preserve">F.10.05</w:t>
            </w:r>
          </w:p>
        </w:tc>
      </w:tr>
      <w:tr>
        <w:tc>
          <w:tcPr/>
          <w:p>
            <w:pPr>
              <w:pStyle w:val="Compact"/>
              <w:jc w:val="left"/>
            </w:pPr>
            <w:r>
              <w:t xml:space="preserve">OHS Medical Examination Log</w:t>
            </w:r>
          </w:p>
        </w:tc>
        <w:tc>
          <w:tcPr/>
          <w:p>
            <w:pPr>
              <w:pStyle w:val="Compact"/>
              <w:jc w:val="left"/>
            </w:pPr>
            <w:r>
              <w:t xml:space="preserve">F.10.06</w:t>
            </w:r>
          </w:p>
        </w:tc>
      </w:tr>
      <w:tr>
        <w:tc>
          <w:tcPr/>
          <w:p>
            <w:pPr>
              <w:pStyle w:val="Compact"/>
              <w:jc w:val="left"/>
            </w:pPr>
            <w:r>
              <w:t xml:space="preserve">Work Accident Log</w:t>
            </w:r>
          </w:p>
        </w:tc>
        <w:tc>
          <w:tcPr/>
          <w:p>
            <w:pPr>
              <w:pStyle w:val="Compact"/>
              <w:jc w:val="left"/>
            </w:pPr>
            <w:r>
              <w:t xml:space="preserve">F.10.07</w:t>
            </w:r>
          </w:p>
        </w:tc>
      </w:tr>
      <w:tr>
        <w:tc>
          <w:tcPr/>
          <w:p>
            <w:pPr>
              <w:pStyle w:val="Compact"/>
              <w:jc w:val="left"/>
            </w:pPr>
            <w:r>
              <w:t xml:space="preserve">OHS Legal Information and Compliance Form</w:t>
            </w:r>
          </w:p>
        </w:tc>
        <w:tc>
          <w:tcPr/>
          <w:p>
            <w:pPr>
              <w:pStyle w:val="Compact"/>
              <w:jc w:val="left"/>
            </w:pPr>
            <w:r>
              <w:t xml:space="preserve">F.10.08</w:t>
            </w:r>
          </w:p>
        </w:tc>
      </w:tr>
      <w:tr>
        <w:tc>
          <w:tcPr/>
          <w:p>
            <w:pPr>
              <w:pStyle w:val="Compact"/>
              <w:jc w:val="left"/>
            </w:pPr>
            <w:r>
              <w:t xml:space="preserve">Emergency Action Plan</w:t>
            </w:r>
          </w:p>
        </w:tc>
        <w:tc>
          <w:tcPr/>
          <w:p>
            <w:pPr>
              <w:pStyle w:val="Compact"/>
              <w:jc w:val="left"/>
            </w:pPr>
            <w:r>
              <w:t xml:space="preserve">F.10.09</w:t>
            </w:r>
          </w:p>
        </w:tc>
      </w:tr>
      <w:tr>
        <w:tc>
          <w:tcPr/>
          <w:p>
            <w:pPr>
              <w:pStyle w:val="Compact"/>
              <w:jc w:val="left"/>
            </w:pPr>
            <w:r>
              <w:t xml:space="preserve">Objective Tracking Form</w:t>
            </w:r>
          </w:p>
        </w:tc>
        <w:tc>
          <w:tcPr/>
          <w:p>
            <w:pPr>
              <w:pStyle w:val="Compact"/>
              <w:jc w:val="left"/>
            </w:pPr>
            <w:r>
              <w:t xml:space="preserve">[code]</w:t>
            </w:r>
          </w:p>
        </w:tc>
      </w:tr>
      <w:tr>
        <w:tc>
          <w:tcPr/>
          <w:p>
            <w:pPr>
              <w:pStyle w:val="Compact"/>
              <w:jc w:val="left"/>
            </w:pPr>
            <w:r>
              <w:t xml:space="preserve">Internal Audit Report</w:t>
            </w:r>
          </w:p>
        </w:tc>
        <w:tc>
          <w:tcPr/>
          <w:p>
            <w:pPr>
              <w:pStyle w:val="Compact"/>
              <w:jc w:val="left"/>
            </w:pPr>
            <w:r>
              <w:t xml:space="preserve">F.04.03</w:t>
            </w:r>
          </w:p>
        </w:tc>
      </w:tr>
      <w:tr>
        <w:tc>
          <w:tcPr/>
          <w:p>
            <w:pPr>
              <w:pStyle w:val="Compact"/>
              <w:jc w:val="left"/>
            </w:pPr>
            <w:r>
              <w:t xml:space="preserve">Document and Record Control Procedure</w:t>
            </w:r>
          </w:p>
        </w:tc>
        <w:tc>
          <w:tcPr/>
          <w:p>
            <w:pPr>
              <w:pStyle w:val="Compact"/>
              <w:jc w:val="left"/>
            </w:pPr>
            <w:r>
              <w:t xml:space="preserve">P.01</w:t>
            </w:r>
          </w:p>
        </w:tc>
      </w:tr>
      <w:tr>
        <w:tc>
          <w:tcPr/>
          <w:p>
            <w:pPr>
              <w:pStyle w:val="Compact"/>
              <w:jc w:val="left"/>
            </w:pPr>
            <w:r>
              <w:t xml:space="preserve">Corrective and Preventive Action Procedure</w:t>
            </w:r>
          </w:p>
        </w:tc>
        <w:tc>
          <w:tcPr/>
          <w:p>
            <w:pPr>
              <w:pStyle w:val="Compact"/>
              <w:jc w:val="left"/>
            </w:pPr>
            <w:r>
              <w:t xml:space="preserve">P.03</w:t>
            </w:r>
          </w:p>
        </w:tc>
      </w:tr>
      <w:tr>
        <w:tc>
          <w:tcPr/>
          <w:p>
            <w:pPr>
              <w:pStyle w:val="Compact"/>
              <w:jc w:val="left"/>
            </w:pPr>
            <w:r>
              <w:t xml:space="preserve">Internal Audit Procedure</w:t>
            </w:r>
          </w:p>
        </w:tc>
        <w:tc>
          <w:tcPr/>
          <w:p>
            <w:pPr>
              <w:pStyle w:val="Compact"/>
              <w:jc w:val="left"/>
            </w:pPr>
            <w:r>
              <w:t xml:space="preserve">P.04</w:t>
            </w:r>
          </w:p>
        </w:tc>
      </w:tr>
      <w:tr>
        <w:tc>
          <w:tcPr/>
          <w:p>
            <w:pPr>
              <w:pStyle w:val="Compact"/>
              <w:jc w:val="left"/>
            </w:pPr>
            <w:r>
              <w:t xml:space="preserve">Corporate Management Procedure</w:t>
            </w:r>
          </w:p>
        </w:tc>
        <w:tc>
          <w:tcPr/>
          <w:p>
            <w:pPr>
              <w:pStyle w:val="Compact"/>
              <w:jc w:val="left"/>
            </w:pPr>
            <w:r>
              <w:t xml:space="preserve">P.06</w:t>
            </w:r>
          </w:p>
        </w:tc>
      </w:tr>
      <w:tr>
        <w:tc>
          <w:tcPr/>
          <w:p>
            <w:pPr>
              <w:pStyle w:val="Compact"/>
              <w:jc w:val="left"/>
            </w:pPr>
            <w:r>
              <w:t xml:space="preserve">Work Accident and Occupational Disease Procedure</w:t>
            </w:r>
          </w:p>
        </w:tc>
        <w:tc>
          <w:tcPr/>
          <w:p>
            <w:pPr>
              <w:pStyle w:val="Compact"/>
              <w:jc w:val="left"/>
            </w:pPr>
            <w:r>
              <w:t xml:space="preserve">EK-2</w:t>
            </w:r>
          </w:p>
        </w:tc>
      </w:tr>
      <w:tr>
        <w:tc>
          <w:tcPr/>
          <w:p>
            <w:pPr>
              <w:pStyle w:val="Compact"/>
              <w:jc w:val="left"/>
            </w:pPr>
            <w:r>
              <w:t xml:space="preserve">Corrective and Preventive Action Form</w:t>
            </w:r>
          </w:p>
        </w:tc>
        <w:tc>
          <w:tcPr/>
          <w:p>
            <w:pPr>
              <w:pStyle w:val="Compact"/>
              <w:jc w:val="left"/>
            </w:pPr>
            <w:r>
              <w:t xml:space="preserve">EK-4</w:t>
            </w:r>
          </w:p>
        </w:tc>
      </w:tr>
    </w:tbl>
    <w:p/>
    <w:tbl>
      <w:tblPr>
        <w:tblStyle w:val="Table"/>
        <w:tblW w:type="auto" w:w="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2640"/>
        <w:gridCol w:w="2640"/>
        <w:gridCol w:w="2640"/>
      </w:tblGrid>
      <w:tr>
        <w:trPr>
          <w:tblHeader w:val="true"/>
        </w:trPr>
        <w:tc>
          <w:tcPr/>
          <w:p>
            <w:pPr>
              <w:pStyle w:val="Compact"/>
              <w:jc w:val="left"/>
            </w:pPr>
            <w:r>
              <w:rPr>
                <w:b/>
              </w:rPr>
              <w:t xml:space="preserve">Effective date</w:t>
            </w:r>
          </w:p>
        </w:tc>
        <w:tc>
          <w:tcPr/>
          <w:p>
            <w:pPr>
              <w:pStyle w:val="Compact"/>
              <w:jc w:val="left"/>
            </w:pPr>
            <w:r>
              <w:rPr>
                <w:b/>
              </w:rPr>
              <w:t xml:space="preserve">Rev. No</w:t>
            </w:r>
          </w:p>
        </w:tc>
        <w:tc>
          <w:tcPr/>
          <w:p>
            <w:pPr>
              <w:pStyle w:val="Compact"/>
              <w:jc w:val="left"/>
            </w:pPr>
            <w:r>
              <w:rPr>
                <w:b/>
              </w:rPr>
              <w:t xml:space="preserve">Approved by</w:t>
            </w:r>
          </w:p>
        </w:tc>
      </w:tr>
      <w:tr>
        <w:tc>
          <w:tcPr/>
          <w:p>
            <w:pPr>
              <w:pStyle w:val="Compact"/>
              <w:jc w:val="left"/>
            </w:pPr>
            <w:r>
              <w:t xml:space="preserve">[date]</w:t>
            </w:r>
          </w:p>
        </w:tc>
        <w:tc>
          <w:tcPr/>
          <w:p>
            <w:pPr>
              <w:pStyle w:val="Compact"/>
              <w:jc w:val="left"/>
            </w:pPr>
            <w:r>
              <w:t xml:space="preserve">[00]</w:t>
            </w:r>
          </w:p>
        </w:tc>
        <w:tc>
          <w:tcPr/>
          <w:p>
            <w:pPr>
              <w:pStyle w:val="Compact"/>
              <w:jc w:val="left"/>
            </w:pPr>
            <w:r>
              <w:t xml:space="preserve">Sabri Paşayiğit, Founding Partner / General Manager</w:t>
            </w:r>
          </w:p>
        </w:tc>
      </w:tr>
    </w:tbl>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Occupational Health and Safety Management System Procedure</dc:title>
  <dc:creator/>
  <cp:keywords/>
  <dcterms:created xsi:type="dcterms:W3CDTF">2026-10-14T16:17:17Z</dcterms:created>
  <dcterms:modified xsi:type="dcterms:W3CDTF">2026-10-14T16:17:17Z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Draft 1.0 · October 2026</vt:lpwstr>
  </property>
</Properties>
</file>