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İş</w:t>
      </w:r>
      <w:r>
        <w:t xml:space="preserve"> </w:t>
      </w:r>
      <w:r>
        <w:t xml:space="preserve">Kazası,</w:t>
      </w:r>
      <w:r>
        <w:t xml:space="preserve"> </w:t>
      </w:r>
      <w:r>
        <w:t xml:space="preserve">Ramak</w:t>
      </w:r>
      <w:r>
        <w:t xml:space="preserve"> </w:t>
      </w:r>
      <w:r>
        <w:t xml:space="preserve">Kala</w:t>
      </w:r>
      <w:r>
        <w:t xml:space="preserve"> </w:t>
      </w:r>
      <w:r>
        <w:t xml:space="preserve">ve</w:t>
      </w:r>
      <w:r>
        <w:t xml:space="preserve"> </w:t>
      </w:r>
      <w:r>
        <w:t xml:space="preserve">Meslek</w:t>
      </w:r>
      <w:r>
        <w:t xml:space="preserve"> </w:t>
      </w:r>
      <w:r>
        <w:t xml:space="preserve">Hastalığı</w:t>
      </w:r>
      <w:r>
        <w:t xml:space="preserve"> </w:t>
      </w:r>
      <w:r>
        <w:t xml:space="preserve">Prosedürü</w:t>
      </w:r>
    </w:p>
    <w:p>
      <w:pPr>
        <w:pStyle w:val="Subtitle"/>
      </w:pPr>
      <w:r>
        <w:t xml:space="preserve">SP</w:t>
      </w:r>
      <w:r>
        <w:t xml:space="preserve"> </w:t>
      </w:r>
      <w:r>
        <w:t xml:space="preserve">Architects</w:t>
      </w:r>
      <w:r>
        <w:t xml:space="preserve"> </w:t>
      </w:r>
      <w:r>
        <w:t xml:space="preserve">·</w:t>
      </w:r>
      <w:r>
        <w:t xml:space="preserve"> </w:t>
      </w:r>
      <w:r>
        <w:t xml:space="preserve">REM</w:t>
      </w:r>
      <w:r>
        <w:t xml:space="preserve"> </w:t>
      </w:r>
      <w:r>
        <w:t xml:space="preserve">Mimarlık</w:t>
      </w:r>
      <w:r>
        <w:t xml:space="preserve"> </w:t>
      </w:r>
      <w:r>
        <w:t xml:space="preserve">Dekorasyon</w:t>
      </w:r>
      <w:r>
        <w:t xml:space="preserve"> </w:t>
      </w:r>
      <w:r>
        <w:t xml:space="preserve">Restorasyon</w:t>
      </w:r>
      <w:r>
        <w:t xml:space="preserve"> </w:t>
      </w:r>
      <w:r>
        <w:t xml:space="preserve">Proje</w:t>
      </w:r>
      <w:r>
        <w:t xml:space="preserve"> </w:t>
      </w:r>
      <w:r>
        <w:t xml:space="preserve">ve</w:t>
      </w:r>
      <w:r>
        <w:t xml:space="preserve"> </w:t>
      </w:r>
      <w:r>
        <w:t xml:space="preserve">Taahhüt</w:t>
      </w:r>
      <w:r>
        <w:t xml:space="preserve"> </w:t>
      </w:r>
      <w:r>
        <w:t xml:space="preserve">Hizmetleri</w:t>
      </w:r>
      <w:r>
        <w:t xml:space="preserve"> </w:t>
      </w:r>
      <w:r>
        <w:t xml:space="preserve">Ltd.</w:t>
      </w:r>
      <w:r>
        <w:t xml:space="preserve"> </w:t>
      </w:r>
      <w:r>
        <w:t xml:space="preserve">Şti.</w:t>
      </w:r>
      <w:r>
        <w:t xml:space="preserve"> </w:t>
      </w:r>
      <w:r>
        <w:t xml:space="preserve">·</w:t>
      </w:r>
      <w:r>
        <w:t xml:space="preserve"> </w:t>
      </w:r>
      <w:r>
        <w:t xml:space="preserve">Taslak</w:t>
      </w:r>
      <w:r>
        <w:t xml:space="preserve"> </w:t>
      </w:r>
      <w:r>
        <w:t xml:space="preserve">1.0</w:t>
      </w:r>
      <w:r>
        <w:t xml:space="preserve"> </w:t>
      </w:r>
      <w:r>
        <w:t xml:space="preserve">·</w:t>
      </w:r>
      <w:r>
        <w:t xml:space="preserve"> </w:t>
      </w:r>
      <w:r>
        <w:t xml:space="preserve">Ekim</w:t>
      </w:r>
      <w:r>
        <w:t xml:space="preserve"> </w:t>
      </w:r>
      <w:r>
        <w:t xml:space="preserve">2026</w:t>
      </w:r>
    </w:p>
    <w:bookmarkStart w:id="20" w:name="amaç"/>
    <w:p>
      <w:pPr>
        <w:pStyle w:val="Heading3"/>
      </w:pPr>
      <w:r>
        <w:t xml:space="preserve">1. Amaç</w:t>
      </w:r>
    </w:p>
    <w:p>
      <w:pPr>
        <w:pStyle w:val="FirstParagraph"/>
      </w:pPr>
      <w:r>
        <w:t xml:space="preserve">Bu prosedür, REM Mimarlık Dekorasyon Restorasyon Proje ve Taahhüt Hizmetleri Ltd. Şti. ("SP Architects") bünyesinde meydana gelen iş kazalarında, ramak kalalarda ve ortaya çıkan meslek hastalıklarında yapılacakları tanımlar. Önceliği her zaman etkilenen kişinin sağlığı ve esenliğidir; ikinci önceliği olaydan öğrenerek tekrarını önlemektir. Prosedür, güvenli ve sağlıklı çalışma ortamını temel hak olarak tanıyan ILO 155 ve 187 Sayılı Sözleşmeleri, UNGC İlke 1–6 ve Politika 7 — İş Sağlığı, Güvenliği ve Esenlik doğrultusunda uygulanır; İSG Yönetim Sistemi Prosedürü'nün (EK-1) Madde 10.1'ini destekler.</w:t>
      </w:r>
    </w:p>
    <w:bookmarkEnd w:id="20"/>
    <w:bookmarkStart w:id="21" w:name="kapsam"/>
    <w:p>
      <w:pPr>
        <w:pStyle w:val="Heading3"/>
      </w:pPr>
      <w:r>
        <w:t xml:space="preserve">2. Kapsam</w:t>
      </w:r>
    </w:p>
    <w:p>
      <w:pPr>
        <w:pStyle w:val="FirstParagraph"/>
      </w:pPr>
      <w:r>
        <w:t xml:space="preserve">SP Architects'in tüm ofislerinde, proje sahalarında, yönettiği şantiyelerde ve görevle bulunulan diğer yerlerde; tüm çalışanlar, stajyerler, alt işveren, yüklenici ve alt yüklenici çalışanları ile ziyaretçilerin uğradığı iş kazalarını, ramak kalaları ve meslek hastalıklarını kapsar.</w:t>
      </w:r>
    </w:p>
    <w:bookmarkEnd w:id="21"/>
    <w:bookmarkStart w:id="22" w:name="tanımlar"/>
    <w:p>
      <w:pPr>
        <w:pStyle w:val="Heading3"/>
      </w:pPr>
      <w:r>
        <w:t xml:space="preserve">3. Tanımlar</w:t>
      </w:r>
    </w:p>
    <w:p>
      <w:pPr>
        <w:numPr>
          <w:ilvl w:val="0"/>
          <w:numId w:val="1001"/>
        </w:numPr>
        <w:pStyle w:val="Compact"/>
      </w:pPr>
      <w:r>
        <w:rPr>
          <w:bCs/>
          <w:b/>
        </w:rPr>
        <w:t xml:space="preserve">İş kazası</w:t>
      </w:r>
      <w:r>
        <w:t xml:space="preserve"> </w:t>
      </w:r>
      <w:r>
        <w:t xml:space="preserve">ve</w:t>
      </w:r>
      <w:r>
        <w:t xml:space="preserve"> </w:t>
      </w:r>
      <w:r>
        <w:rPr>
          <w:bCs/>
          <w:b/>
        </w:rPr>
        <w:t xml:space="preserve">meslek hastalığı:</w:t>
      </w:r>
      <w:r>
        <w:t xml:space="preserve"> </w:t>
      </w:r>
      <w:r>
        <w:t xml:space="preserve">İSG Yönetim Sistemi Prosedürü'ndeki (EK-1) tanımlar geçerlidir.</w:t>
      </w:r>
    </w:p>
    <w:p>
      <w:pPr>
        <w:numPr>
          <w:ilvl w:val="0"/>
          <w:numId w:val="1001"/>
        </w:numPr>
        <w:pStyle w:val="Compact"/>
      </w:pPr>
      <w:r>
        <w:rPr>
          <w:bCs/>
          <w:b/>
        </w:rPr>
        <w:t xml:space="preserve">Ramak kala:</w:t>
      </w:r>
      <w:r>
        <w:t xml:space="preserve"> </w:t>
      </w:r>
      <w:r>
        <w:t xml:space="preserve">Yaralanma, sağlık bozulması, hasar veya kayıpla sonuçlanmamış ancak sonuçlanabilecek olay (ör. düşen ama kimseye çarpmayan malzeme, kayıp düşmeden toparlanma, açıkta kalan elektrik kablosu).</w:t>
      </w:r>
    </w:p>
    <w:p>
      <w:pPr>
        <w:numPr>
          <w:ilvl w:val="0"/>
          <w:numId w:val="1001"/>
        </w:numPr>
        <w:pStyle w:val="Compact"/>
      </w:pPr>
      <w:r>
        <w:rPr>
          <w:bCs/>
          <w:b/>
        </w:rPr>
        <w:t xml:space="preserve">Kayıp günlü kaza:</w:t>
      </w:r>
      <w:r>
        <w:t xml:space="preserve"> </w:t>
      </w:r>
      <w:r>
        <w:t xml:space="preserve">Kazazedenin kaza gününden sonra en az bir iş günü çalışamamasına yol açan kaza.</w:t>
      </w:r>
    </w:p>
    <w:p>
      <w:pPr>
        <w:numPr>
          <w:ilvl w:val="0"/>
          <w:numId w:val="1001"/>
        </w:numPr>
        <w:pStyle w:val="Compact"/>
      </w:pPr>
      <w:r>
        <w:rPr>
          <w:bCs/>
          <w:b/>
        </w:rPr>
        <w:t xml:space="preserve">Kök neden analizi:</w:t>
      </w:r>
      <w:r>
        <w:t xml:space="preserve"> </w:t>
      </w:r>
      <w:r>
        <w:t xml:space="preserve">Olayın görünen nedeninin ardındaki sistem, organizasyon, tasarım ve yönetim kaynaklı nedenlerin belirlenmesi.</w:t>
      </w:r>
    </w:p>
    <w:p>
      <w:pPr>
        <w:numPr>
          <w:ilvl w:val="0"/>
          <w:numId w:val="1001"/>
        </w:numPr>
        <w:pStyle w:val="Compact"/>
      </w:pPr>
      <w:r>
        <w:rPr>
          <w:bCs/>
          <w:b/>
        </w:rPr>
        <w:t xml:space="preserve">İSGK:</w:t>
      </w:r>
      <w:r>
        <w:t xml:space="preserve"> </w:t>
      </w:r>
      <w:r>
        <w:t xml:space="preserve">İş Sağlığı ve Güvenliği Kurulu; kurul yükümlülüğü yoksa YT, İSG uzmanı ve çalışan temsilcisinden oluşan İSG Koordinasyon Toplantısı.</w:t>
      </w:r>
    </w:p>
    <w:p>
      <w:pPr>
        <w:numPr>
          <w:ilvl w:val="0"/>
          <w:numId w:val="1001"/>
        </w:numPr>
        <w:pStyle w:val="Compact"/>
      </w:pPr>
      <w:r>
        <w:rPr>
          <w:bCs/>
          <w:b/>
        </w:rPr>
        <w:t xml:space="preserve">SGK:</w:t>
      </w:r>
      <w:r>
        <w:t xml:space="preserve"> </w:t>
      </w:r>
      <w:r>
        <w:t xml:space="preserve">Sosyal Güvenlik Kurumu.</w:t>
      </w:r>
      <w:r>
        <w:t xml:space="preserve"> </w:t>
      </w:r>
      <w:r>
        <w:rPr>
          <w:bCs/>
          <w:b/>
        </w:rPr>
        <w:t xml:space="preserve">YT:</w:t>
      </w:r>
      <w:r>
        <w:t xml:space="preserve"> </w:t>
      </w:r>
      <w:r>
        <w:t xml:space="preserve">Yönetim Temsilcisi (İSG Koordinatörü).</w:t>
      </w:r>
    </w:p>
    <w:bookmarkEnd w:id="22"/>
    <w:bookmarkStart w:id="23" w:name="sorumluluklar"/>
    <w:p>
      <w:pPr>
        <w:pStyle w:val="Heading3"/>
      </w:pPr>
      <w:r>
        <w:t xml:space="preserve">4. Sorumluluklar</w:t>
      </w:r>
    </w:p>
    <w:tbl>
      <w:tblPr>
        <w:tblStyle w:val="Table"/>
        <w:tblW w:type="pct" w:w="500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3960"/>
        <w:gridCol w:w="3960"/>
      </w:tblGrid>
      <w:tr>
        <w:trPr>
          <w:tblHeader w:val="true"/>
        </w:trPr>
        <w:tc>
          <w:tcPr/>
          <w:p>
            <w:pPr>
              <w:pStyle w:val="Compact"/>
              <w:jc w:val="left"/>
            </w:pPr>
            <w:r>
              <w:rPr>
                <w:b/>
              </w:rPr>
              <w:t xml:space="preserve">Rol</w:t>
            </w:r>
          </w:p>
        </w:tc>
        <w:tc>
          <w:tcPr/>
          <w:p>
            <w:pPr>
              <w:pStyle w:val="Compact"/>
              <w:jc w:val="left"/>
            </w:pPr>
            <w:r>
              <w:rPr>
                <w:b/>
              </w:rPr>
              <w:t xml:space="preserve">Sorumluluklar</w:t>
            </w:r>
          </w:p>
        </w:tc>
      </w:tr>
      <w:tr>
        <w:tc>
          <w:tcPr/>
          <w:p>
            <w:pPr>
              <w:pStyle w:val="Compact"/>
              <w:jc w:val="left"/>
            </w:pPr>
            <w:r>
              <w:t xml:space="preserve">Birim / proje / şantiye yöneticisi</w:t>
            </w:r>
          </w:p>
        </w:tc>
        <w:tc>
          <w:tcPr/>
          <w:p>
            <w:pPr>
              <w:pStyle w:val="Compact"/>
              <w:jc w:val="left"/>
            </w:pPr>
            <w:r>
              <w:t xml:space="preserve">İlk müdahaleyi organize eder, 112'yi arar veya aratır, tutanağın düzenlenmesini, olayın aynı gün YT'ye iletilmesini ve yasal bildirimlerin zamanında yapılmasını sağlar; kök neden analizine katılır.</w:t>
            </w:r>
          </w:p>
        </w:tc>
      </w:tr>
      <w:tr>
        <w:tc>
          <w:tcPr/>
          <w:p>
            <w:pPr>
              <w:pStyle w:val="Compact"/>
              <w:jc w:val="left"/>
            </w:pPr>
            <w:r>
              <w:t xml:space="preserve">Yönetim Temsilcisi (İSG Koordinatörü)</w:t>
            </w:r>
          </w:p>
        </w:tc>
        <w:tc>
          <w:tcPr/>
          <w:p>
            <w:pPr>
              <w:pStyle w:val="Compact"/>
              <w:jc w:val="left"/>
            </w:pPr>
            <w:r>
              <w:t xml:space="preserve">SGK bildiriminin süresinde yapılmasını takip eder, kayıtları tutar, kök neden analizini ve DÖF'ü koordine eder, yıllık istatistikleri hazırlar.</w:t>
            </w:r>
          </w:p>
        </w:tc>
      </w:tr>
      <w:tr>
        <w:tc>
          <w:tcPr/>
          <w:p>
            <w:pPr>
              <w:pStyle w:val="Compact"/>
              <w:jc w:val="left"/>
            </w:pPr>
            <w:r>
              <w:t xml:space="preserve">SGK bildirimine yetkili kişi</w:t>
            </w:r>
          </w:p>
        </w:tc>
        <w:tc>
          <w:tcPr/>
          <w:p>
            <w:pPr>
              <w:pStyle w:val="Compact"/>
              <w:jc w:val="left"/>
            </w:pPr>
            <w:r>
              <w:t xml:space="preserve">[Ad Soyad] (yedek: [Ad Soyad]) — bildirimi SGK e-Bildirim sistemi üzerinden yapar ve bildirim belgesini dosyaya ekler.</w:t>
            </w:r>
          </w:p>
        </w:tc>
      </w:tr>
      <w:tr>
        <w:tc>
          <w:tcPr/>
          <w:p>
            <w:pPr>
              <w:pStyle w:val="Compact"/>
              <w:jc w:val="left"/>
            </w:pPr>
            <w:r>
              <w:t xml:space="preserve">İSG uzmanı ve işyeri hekimi</w:t>
            </w:r>
          </w:p>
        </w:tc>
        <w:tc>
          <w:tcPr/>
          <w:p>
            <w:pPr>
              <w:pStyle w:val="Compact"/>
              <w:jc w:val="left"/>
            </w:pPr>
            <w:r>
              <w:t xml:space="preserve">Olay araştırmasına teknik destek verir, meslek hastalığı şüphesini değerlendirir, işe dönüş uygunluğunu belirler.</w:t>
            </w:r>
          </w:p>
        </w:tc>
      </w:tr>
      <w:tr>
        <w:tc>
          <w:tcPr/>
          <w:p>
            <w:pPr>
              <w:pStyle w:val="Compact"/>
              <w:jc w:val="left"/>
            </w:pPr>
            <w:r>
              <w:t xml:space="preserve">İSGK / çalışan temsilcisi</w:t>
            </w:r>
          </w:p>
        </w:tc>
        <w:tc>
          <w:tcPr/>
          <w:p>
            <w:pPr>
              <w:pStyle w:val="Compact"/>
              <w:jc w:val="left"/>
            </w:pPr>
            <w:r>
              <w:t xml:space="preserve">Kök neden analizine katılır, önlem önerir, sonuçların çalışanlarla paylaşılmasını izler.</w:t>
            </w:r>
          </w:p>
        </w:tc>
      </w:tr>
      <w:tr>
        <w:tc>
          <w:tcPr/>
          <w:p>
            <w:pPr>
              <w:pStyle w:val="Compact"/>
              <w:jc w:val="left"/>
            </w:pPr>
            <w:r>
              <w:t xml:space="preserve">Kazazede ve görgü tanıkları</w:t>
            </w:r>
          </w:p>
        </w:tc>
        <w:tc>
          <w:tcPr/>
          <w:p>
            <w:pPr>
              <w:pStyle w:val="Compact"/>
              <w:jc w:val="left"/>
            </w:pPr>
            <w:r>
              <w:t xml:space="preserve">Olanaklı olduğunda olayın nasıl gerçekleştiğini doğru biçimde anlatır; sağlık kuruluşunda olayın iş kazası olduğunu belirtir.</w:t>
            </w:r>
          </w:p>
        </w:tc>
      </w:tr>
      <w:tr>
        <w:tc>
          <w:tcPr/>
          <w:p>
            <w:pPr>
              <w:pStyle w:val="Compact"/>
              <w:jc w:val="left"/>
            </w:pPr>
            <w:r>
              <w:t xml:space="preserve">Tüm çalışanlar</w:t>
            </w:r>
          </w:p>
        </w:tc>
        <w:tc>
          <w:tcPr/>
          <w:p>
            <w:pPr>
              <w:pStyle w:val="Compact"/>
              <w:jc w:val="left"/>
            </w:pPr>
            <w:r>
              <w:t xml:space="preserve">Kazaları ve ramak kalaları derhal bildirir; ilk yardım ekibine yardımcı olur.</w:t>
            </w:r>
          </w:p>
        </w:tc>
      </w:tr>
      <w:tr>
        <w:tc>
          <w:tcPr/>
          <w:p>
            <w:pPr>
              <w:pStyle w:val="Compact"/>
              <w:jc w:val="left"/>
            </w:pPr>
            <w:r>
              <w:t xml:space="preserve">Alt işverenler ve yükleniciler</w:t>
            </w:r>
          </w:p>
        </w:tc>
        <w:tc>
          <w:tcPr/>
          <w:p>
            <w:pPr>
              <w:pStyle w:val="Compact"/>
              <w:jc w:val="left"/>
            </w:pPr>
            <w:r>
              <w:t xml:space="preserve">Kendi çalışanlarının kazalarını derhal SP Architects'e bildirir, yasal bildirimlerini yapar, kök neden analizine katılır (Politika 8).</w:t>
            </w:r>
          </w:p>
        </w:tc>
      </w:tr>
    </w:tbl>
    <w:p>
      <w:pPr>
        <w:pStyle w:val="BodyText"/>
      </w:pPr>
      <w:r>
        <w:t xml:space="preserve">İşverenin İSG sorumluluğu, çalışanların veya yüklenicilerin yükümlülükleri nedeniyle ortadan kalkmaz (6331 Md. 4).</w:t>
      </w:r>
    </w:p>
    <w:bookmarkEnd w:id="23"/>
    <w:bookmarkStart w:id="32" w:name="uygulama"/>
    <w:p>
      <w:pPr>
        <w:pStyle w:val="Heading3"/>
      </w:pPr>
      <w:r>
        <w:t xml:space="preserve">5. Uygulama</w:t>
      </w:r>
    </w:p>
    <w:bookmarkStart w:id="24" w:name="olay-anında-ilk-müdahale"/>
    <w:p>
      <w:pPr>
        <w:pStyle w:val="Heading4"/>
      </w:pPr>
      <w:r>
        <w:t xml:space="preserve">5.1 Olay anında ilk müdahale</w:t>
      </w:r>
    </w:p>
    <w:p>
      <w:pPr>
        <w:numPr>
          <w:ilvl w:val="0"/>
          <w:numId w:val="1002"/>
        </w:numPr>
        <w:pStyle w:val="Compact"/>
      </w:pPr>
      <w:r>
        <w:t xml:space="preserve">Ortam güvenli hale getirilir; tehlike sürüyorsa iş durdurulur ve alan çevrilir.</w:t>
      </w:r>
    </w:p>
    <w:p>
      <w:pPr>
        <w:numPr>
          <w:ilvl w:val="0"/>
          <w:numId w:val="1002"/>
        </w:numPr>
        <w:pStyle w:val="Compact"/>
      </w:pPr>
      <w:r>
        <w:t xml:space="preserve">112 Acil Çağrı aranır.</w:t>
      </w:r>
    </w:p>
    <w:p>
      <w:pPr>
        <w:numPr>
          <w:ilvl w:val="0"/>
          <w:numId w:val="1002"/>
        </w:numPr>
        <w:pStyle w:val="Compact"/>
      </w:pPr>
      <w:r>
        <w:t xml:space="preserve">Ambulans gelene kadar ilk yardım eğitimi almış çalışan ilk yardımı uygular; kazazede yalnız bırakılmaz.</w:t>
      </w:r>
    </w:p>
    <w:p>
      <w:pPr>
        <w:numPr>
          <w:ilvl w:val="0"/>
          <w:numId w:val="1002"/>
        </w:numPr>
        <w:pStyle w:val="Compact"/>
      </w:pPr>
      <w:r>
        <w:t xml:space="preserve">Kazazede sağlık kuruluşuna götürülürken mümkünse bir çalışan refakat eder.</w:t>
      </w:r>
    </w:p>
    <w:p>
      <w:pPr>
        <w:numPr>
          <w:ilvl w:val="0"/>
          <w:numId w:val="1002"/>
        </w:numPr>
        <w:pStyle w:val="Compact"/>
      </w:pPr>
      <w:r>
        <w:t xml:space="preserve">Olay yeri, araştırma tamamlanıncaya kadar (güvenlik gerektirmedikçe) bozulmaz; fotoğraflanır.</w:t>
      </w:r>
    </w:p>
    <w:bookmarkEnd w:id="24"/>
    <w:bookmarkStart w:id="25" w:name="kayıt"/>
    <w:p>
      <w:pPr>
        <w:pStyle w:val="Heading4"/>
      </w:pPr>
      <w:r>
        <w:t xml:space="preserve">5.2 Kayıt</w:t>
      </w:r>
    </w:p>
    <w:p>
      <w:pPr>
        <w:numPr>
          <w:ilvl w:val="0"/>
          <w:numId w:val="1003"/>
        </w:numPr>
        <w:pStyle w:val="Compact"/>
      </w:pPr>
      <w:r>
        <w:t xml:space="preserve">Kazazedenin bilinci açıksa kazanın nasıl olduğu kendisinden öğrenilir. Görgü tanıklarının ifadeleri alınır ve İş Kazası Tutanağı'na (İSK.FR.008) işlenir; tanıklar ve, durumu elverdiğinde, kazazede tutanağı imzalar.</w:t>
      </w:r>
    </w:p>
    <w:p>
      <w:pPr>
        <w:numPr>
          <w:ilvl w:val="0"/>
          <w:numId w:val="1003"/>
        </w:numPr>
        <w:pStyle w:val="Compact"/>
      </w:pPr>
      <w:r>
        <w:t xml:space="preserve">Kazazede imzalamadan önce tutanağı okuyabilir, kendi beyanını ekleyebilir ve bir kopyasını alabilir; imza için baskı yapılmaz.</w:t>
      </w:r>
    </w:p>
    <w:p>
      <w:pPr>
        <w:numPr>
          <w:ilvl w:val="0"/>
          <w:numId w:val="1003"/>
        </w:numPr>
        <w:pStyle w:val="Compact"/>
      </w:pPr>
      <w:r>
        <w:t xml:space="preserve">Kazazedenin bilinci kapalıysa tutanak tanık ifadeleriyle düzenlenir; kazazedenin ifadesi iyileştikten sonra alınarak tutanağa eklenir.</w:t>
      </w:r>
    </w:p>
    <w:p>
      <w:pPr>
        <w:numPr>
          <w:ilvl w:val="0"/>
          <w:numId w:val="1003"/>
        </w:numPr>
        <w:pStyle w:val="Compact"/>
      </w:pPr>
      <w:r>
        <w:t xml:space="preserve">Olay aynı gün YT'ye iletilir; tutanağın bir örneği İSGK'ya gönderilir.</w:t>
      </w:r>
    </w:p>
    <w:bookmarkEnd w:id="25"/>
    <w:bookmarkStart w:id="26" w:name="yasal-bildirimler"/>
    <w:p>
      <w:pPr>
        <w:pStyle w:val="Heading4"/>
      </w:pPr>
      <w:r>
        <w:t xml:space="preserve">5.3 Yasal bildirimler</w:t>
      </w:r>
    </w:p>
    <w:p>
      <w:pPr>
        <w:numPr>
          <w:ilvl w:val="0"/>
          <w:numId w:val="1004"/>
        </w:numPr>
        <w:pStyle w:val="Compact"/>
      </w:pPr>
      <w:r>
        <w:rPr>
          <w:bCs/>
          <w:b/>
        </w:rPr>
        <w:t xml:space="preserve">Kolluk kuvvetleri:</w:t>
      </w:r>
      <w:r>
        <w:t xml:space="preserve"> </w:t>
      </w:r>
      <w:r>
        <w:t xml:space="preserve">Kaza, gerekli hallerde olay yerindeki yetkili kolluk kuvvetlerine derhal bildirilir.</w:t>
      </w:r>
    </w:p>
    <w:p>
      <w:pPr>
        <w:numPr>
          <w:ilvl w:val="0"/>
          <w:numId w:val="1004"/>
        </w:numPr>
        <w:pStyle w:val="Compact"/>
      </w:pPr>
      <w:r>
        <w:rPr>
          <w:bCs/>
          <w:b/>
        </w:rPr>
        <w:t xml:space="preserve">SGK — iş kazası:</w:t>
      </w:r>
      <w:r>
        <w:t xml:space="preserve"> </w:t>
      </w:r>
      <w:r>
        <w:t xml:space="preserve">Kazadan sonraki en geç 3 iş günü içinde, SGK e-Bildirim sistemi üzerinden yetkili kişi tarafından bildirilir (6331 Md. 14).</w:t>
      </w:r>
    </w:p>
    <w:p>
      <w:pPr>
        <w:numPr>
          <w:ilvl w:val="0"/>
          <w:numId w:val="1004"/>
        </w:numPr>
        <w:pStyle w:val="Compact"/>
      </w:pPr>
      <w:r>
        <w:rPr>
          <w:bCs/>
          <w:b/>
        </w:rPr>
        <w:t xml:space="preserve">SGK — meslek hastalığı:</w:t>
      </w:r>
      <w:r>
        <w:t xml:space="preserve"> </w:t>
      </w:r>
      <w:r>
        <w:t xml:space="preserve">İşyeri hekimi veya sağlık hizmet sunucusu tarafından bildirildiği ya da öğrenildiği tarihten itibaren 3 iş günü içinde bildirilir.</w:t>
      </w:r>
    </w:p>
    <w:p>
      <w:pPr>
        <w:numPr>
          <w:ilvl w:val="0"/>
          <w:numId w:val="1004"/>
        </w:numPr>
        <w:pStyle w:val="Compact"/>
      </w:pPr>
      <w:r>
        <w:rPr>
          <w:bCs/>
          <w:b/>
        </w:rPr>
        <w:t xml:space="preserve">Alt işveren çalışanları:</w:t>
      </w:r>
      <w:r>
        <w:t xml:space="preserve"> </w:t>
      </w:r>
      <w:r>
        <w:t xml:space="preserve">Alt işveren kendi çalışanının kazasını yasal süre içinde bildirir ve bildirim belgesinin bir kopyasını SP Architects'e iletir; SP Architects bildirimin yapıldığını teyit eder.</w:t>
      </w:r>
    </w:p>
    <w:p>
      <w:pPr>
        <w:numPr>
          <w:ilvl w:val="0"/>
          <w:numId w:val="1004"/>
        </w:numPr>
        <w:pStyle w:val="Compact"/>
      </w:pPr>
      <w:r>
        <w:t xml:space="preserve">Bildirim belgesi olay dosyasına eklenir.</w:t>
      </w:r>
    </w:p>
    <w:bookmarkEnd w:id="26"/>
    <w:bookmarkStart w:id="27" w:name="ramak-kala-bildirimi"/>
    <w:p>
      <w:pPr>
        <w:pStyle w:val="Heading4"/>
      </w:pPr>
      <w:r>
        <w:t xml:space="preserve">5.4 Ramak kala bildirimi</w:t>
      </w:r>
    </w:p>
    <w:p>
      <w:pPr>
        <w:pStyle w:val="FirstParagraph"/>
      </w:pPr>
      <w:r>
        <w:t xml:space="preserve">Her çalışan, yüklenici veya ziyaretçi ramak kalayı bildirebilir ve bildirmeye teşvik edilir. Ramak kala bir öğrenme fırsatıdır; bildirimde bulunan kişiye hiçbir olumsuz sonuç uygulanmaz.</w:t>
      </w:r>
    </w:p>
    <w:p>
      <w:pPr>
        <w:numPr>
          <w:ilvl w:val="0"/>
          <w:numId w:val="1005"/>
        </w:numPr>
        <w:pStyle w:val="Compact"/>
      </w:pPr>
      <w:r>
        <w:t xml:space="preserve">Bildirim yöneticiye, YT'ye, çalışan temsilcisine, [ramak kala bildirim kanalı] üzerinden ya da istenirse isimsiz olarak Politika 6 — Bildirim ve Misillemeye Karşı Koruma kanalı ile yapılabilir.</w:t>
      </w:r>
    </w:p>
    <w:p>
      <w:pPr>
        <w:numPr>
          <w:ilvl w:val="0"/>
          <w:numId w:val="1005"/>
        </w:numPr>
        <w:pStyle w:val="Compact"/>
      </w:pPr>
      <w:r>
        <w:t xml:space="preserve">Bildirim, ne olduğu, nerede ve ne zaman olduğu ve olası sonucu ile kısa tutulur.</w:t>
      </w:r>
    </w:p>
    <w:p>
      <w:pPr>
        <w:numPr>
          <w:ilvl w:val="0"/>
          <w:numId w:val="1005"/>
        </w:numPr>
        <w:pStyle w:val="Compact"/>
      </w:pPr>
      <w:r>
        <w:t xml:space="preserve">YT bildirimi İş Kazaları Takip Listesi'ne (F.10.07) "ramak kala" olarak işler, riski puanlar ve gerekiyorsa DÖF başlatır.</w:t>
      </w:r>
    </w:p>
    <w:p>
      <w:pPr>
        <w:numPr>
          <w:ilvl w:val="0"/>
          <w:numId w:val="1005"/>
        </w:numPr>
        <w:pStyle w:val="Compact"/>
      </w:pPr>
      <w:r>
        <w:t xml:space="preserve">Bildirimde bulunana alınan önlem hakkında geri bildirim verilir.</w:t>
      </w:r>
    </w:p>
    <w:bookmarkEnd w:id="27"/>
    <w:bookmarkStart w:id="28" w:name="kök-neden-analizi"/>
    <w:p>
      <w:pPr>
        <w:pStyle w:val="Heading4"/>
      </w:pPr>
      <w:r>
        <w:t xml:space="preserve">5.5 Kök neden analizi</w:t>
      </w:r>
    </w:p>
    <w:p>
      <w:pPr>
        <w:pStyle w:val="FirstParagraph"/>
      </w:pPr>
      <w:r>
        <w:t xml:space="preserve">Her iş kazası, meslek hastalığı ve yüksek potansiyelli ramak kala için İSGK, ilgili birim yöneticisi, İSG uzmanı ve çalışan temsilcisinin katılımıyla kök neden analizi yapılır.</w:t>
      </w:r>
    </w:p>
    <w:p>
      <w:pPr>
        <w:numPr>
          <w:ilvl w:val="0"/>
          <w:numId w:val="1006"/>
        </w:numPr>
        <w:pStyle w:val="Compact"/>
      </w:pPr>
      <w:r>
        <w:t xml:space="preserve">Analiz suçlamasızdır: amaç kişiyi değil, olayı mümkün kılan koşulları (tasarım, ekipman, planlama, iş yükü, eğitim, talimat, denetim, yüklenici yönetimi) belirlemektir. Disiplin süreci yalnızca kasıtlı ihlal veya ağır ihmal hallerinde ve araştırmadan ayrı olarak yürütülür.</w:t>
      </w:r>
    </w:p>
    <w:p>
      <w:pPr>
        <w:numPr>
          <w:ilvl w:val="0"/>
          <w:numId w:val="1006"/>
        </w:numPr>
        <w:pStyle w:val="Compact"/>
      </w:pPr>
      <w:r>
        <w:t xml:space="preserve">"5 Neden" veya balık kılçığı gibi yöntemler kullanılır; kazazede ve tanıkların görüşü alınır.</w:t>
      </w:r>
    </w:p>
    <w:p>
      <w:pPr>
        <w:numPr>
          <w:ilvl w:val="0"/>
          <w:numId w:val="1006"/>
        </w:numPr>
        <w:pStyle w:val="Compact"/>
      </w:pPr>
      <w:r>
        <w:t xml:space="preserve">Analiz olaydan sonra [5] iş günü içinde tamamlanır ve Düzeltici ve Önleyici Faaliyet Formu (EK-4) ile DÖF başlatılır.</w:t>
      </w:r>
    </w:p>
    <w:p>
      <w:pPr>
        <w:numPr>
          <w:ilvl w:val="0"/>
          <w:numId w:val="1006"/>
        </w:numPr>
        <w:pStyle w:val="Compact"/>
      </w:pPr>
      <w:r>
        <w:t xml:space="preserve">İlgili risk değerlendirmesi (F.10.04) gözden geçirilir ve güncellenir.</w:t>
      </w:r>
    </w:p>
    <w:p>
      <w:pPr>
        <w:numPr>
          <w:ilvl w:val="0"/>
          <w:numId w:val="1006"/>
        </w:numPr>
        <w:pStyle w:val="Compact"/>
      </w:pPr>
      <w:r>
        <w:t xml:space="preserve">Öğrenilen dersler kişisel veriler gizlenerek tüm ilgili çalışanlarla ve gerekiyorsa yüklenicilerle paylaşılır.</w:t>
      </w:r>
    </w:p>
    <w:p>
      <w:pPr>
        <w:pStyle w:val="FirstParagraph"/>
      </w:pPr>
      <w:r>
        <w:t xml:space="preserve">Kök nedeni belirlenen olaylar için İSGK, öncelikle olayın yaşandığı birim olmak üzere tüm birimlere önerilerini iletir.</w:t>
      </w:r>
    </w:p>
    <w:bookmarkEnd w:id="28"/>
    <w:bookmarkStart w:id="29" w:name="kazazedeye-destek"/>
    <w:p>
      <w:pPr>
        <w:pStyle w:val="Heading4"/>
      </w:pPr>
      <w:r>
        <w:t xml:space="preserve">5.6 Kazazedeye destek</w:t>
      </w:r>
    </w:p>
    <w:p>
      <w:pPr>
        <w:numPr>
          <w:ilvl w:val="0"/>
          <w:numId w:val="1007"/>
        </w:numPr>
        <w:pStyle w:val="Compact"/>
      </w:pPr>
      <w:r>
        <w:t xml:space="preserve">Kazazedenin yakınlarına veya kendisinin belirttiği kişiye, kazazedenin isteği gözetilerek haber verilir.</w:t>
      </w:r>
    </w:p>
    <w:p>
      <w:pPr>
        <w:numPr>
          <w:ilvl w:val="0"/>
          <w:numId w:val="1007"/>
        </w:numPr>
        <w:pStyle w:val="Compact"/>
      </w:pPr>
      <w:r>
        <w:t xml:space="preserve">Kazazede, tedavi süreci, SGK hakları (geçici iş göremezlik ödeneği vb.) ve izlenecek adımlar hakkında anlaşılır biçimde bilgilendirilir.</w:t>
      </w:r>
    </w:p>
    <w:p>
      <w:pPr>
        <w:numPr>
          <w:ilvl w:val="0"/>
          <w:numId w:val="1007"/>
        </w:numPr>
        <w:pStyle w:val="Compact"/>
      </w:pPr>
      <w:r>
        <w:t xml:space="preserve">Gerektiğinde kazazedeye ve olaydan etkilenen diğer çalışanlara psikolojik destek sağlanır veya yönlendirme yapılır.</w:t>
      </w:r>
    </w:p>
    <w:p>
      <w:pPr>
        <w:numPr>
          <w:ilvl w:val="0"/>
          <w:numId w:val="1007"/>
        </w:numPr>
        <w:pStyle w:val="Compact"/>
      </w:pPr>
      <w:r>
        <w:t xml:space="preserve">Kazayı bildiren, tanıklık eden veya kaza geçiren hiç kimse misillemeye maruz kalmaz.</w:t>
      </w:r>
    </w:p>
    <w:p>
      <w:pPr>
        <w:numPr>
          <w:ilvl w:val="0"/>
          <w:numId w:val="1007"/>
        </w:numPr>
        <w:pStyle w:val="Compact"/>
      </w:pPr>
      <w:r>
        <w:t xml:space="preserve">Kazazedenin sağlık bilgileri gizli tutulur ve Politika 10 — Kişisel Verilerin Korunması ve Bilgi Güvenliği'ne göre işlenir.</w:t>
      </w:r>
    </w:p>
    <w:bookmarkEnd w:id="29"/>
    <w:bookmarkStart w:id="30" w:name="işe-dönüş"/>
    <w:p>
      <w:pPr>
        <w:pStyle w:val="Heading4"/>
      </w:pPr>
      <w:r>
        <w:t xml:space="preserve">5.7 İşe dönüş</w:t>
      </w:r>
    </w:p>
    <w:p>
      <w:pPr>
        <w:numPr>
          <w:ilvl w:val="0"/>
          <w:numId w:val="1008"/>
        </w:numPr>
        <w:pStyle w:val="Compact"/>
      </w:pPr>
      <w:r>
        <w:t xml:space="preserve">İş günü kaybı olan kazalarda kazazede, işe dönmeden önce işyeri hekimi tarafından değerlendirilir.</w:t>
      </w:r>
    </w:p>
    <w:p>
      <w:pPr>
        <w:numPr>
          <w:ilvl w:val="0"/>
          <w:numId w:val="1008"/>
        </w:numPr>
        <w:pStyle w:val="Compact"/>
      </w:pPr>
      <w:r>
        <w:t xml:space="preserve">Gerekiyorsa kademeli dönüş, geçici olarak uyarlanmış görev veya çalışma düzeni planlanır; bu süreçte kazazedenin ücret ve diğer hakları korunur.</w:t>
      </w:r>
    </w:p>
    <w:p>
      <w:pPr>
        <w:numPr>
          <w:ilvl w:val="0"/>
          <w:numId w:val="1008"/>
        </w:numPr>
        <w:pStyle w:val="Compact"/>
      </w:pPr>
      <w:r>
        <w:t xml:space="preserve">Kazazede, işe döndüğünde alınan önlemler ve güncellenen çalışma yöntemleri hakkında bilgilendirilir; iş günü kaybı olmayan kazalarda bu bilgilendirme kaza sonrasında yapılır. Bu bilgilendirme bir yaptırım değildir.</w:t>
      </w:r>
    </w:p>
    <w:p>
      <w:pPr>
        <w:numPr>
          <w:ilvl w:val="0"/>
          <w:numId w:val="1008"/>
        </w:numPr>
        <w:pStyle w:val="Compact"/>
      </w:pPr>
      <w:r>
        <w:t xml:space="preserve">İşe dönüşten sonra yönetici, uyum ve olası güçlükler konusunda kazazede ile görüşür.</w:t>
      </w:r>
    </w:p>
    <w:bookmarkEnd w:id="30"/>
    <w:bookmarkStart w:id="31" w:name="kayıtlar-ve-raporlama"/>
    <w:p>
      <w:pPr>
        <w:pStyle w:val="Heading4"/>
      </w:pPr>
      <w:r>
        <w:t xml:space="preserve">5.8 Kayıtlar ve raporlama</w:t>
      </w:r>
    </w:p>
    <w:p>
      <w:pPr>
        <w:numPr>
          <w:ilvl w:val="0"/>
          <w:numId w:val="1009"/>
        </w:numPr>
        <w:pStyle w:val="Compact"/>
      </w:pPr>
      <w:r>
        <w:t xml:space="preserve">Tüm iş kazaları, meslek hastalıkları ve ramak kalalar İş Kazaları Takip Listesi'ne (F.10.07) işlenir: tarih, yer, olay türü, etkilenen kişinin statüsü (çalışan / alt işveren / ziyaretçi) ve cinsiyeti, yaralanma türü, kayıp gün, SGK bildirim tarihi, DÖF numarası.</w:t>
      </w:r>
    </w:p>
    <w:p>
      <w:pPr>
        <w:numPr>
          <w:ilvl w:val="0"/>
          <w:numId w:val="1009"/>
        </w:numPr>
        <w:pStyle w:val="Compact"/>
      </w:pPr>
      <w:r>
        <w:t xml:space="preserve">Kayıtlar en az [yıl] yıl saklanır.</w:t>
      </w:r>
    </w:p>
    <w:p>
      <w:pPr>
        <w:numPr>
          <w:ilvl w:val="0"/>
          <w:numId w:val="1009"/>
        </w:numPr>
        <w:pStyle w:val="Compact"/>
      </w:pPr>
      <w:r>
        <w:t xml:space="preserve">YT, yıl sonunda İSGK ve YGG için istatistik hazırlar. Bu veriler UNGC İlerleme Bildirimi'nde (CoP) kullanılır:</w:t>
      </w:r>
    </w:p>
    <w:tbl>
      <w:tblPr>
        <w:tblStyle w:val="Table"/>
        <w:tblW w:type="pct" w:w="500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3960"/>
        <w:gridCol w:w="3960"/>
      </w:tblGrid>
      <w:tr>
        <w:trPr>
          <w:tblHeader w:val="true"/>
        </w:trPr>
        <w:tc>
          <w:tcPr/>
          <w:p>
            <w:pPr>
              <w:pStyle w:val="Compact"/>
              <w:jc w:val="left"/>
            </w:pPr>
            <w:r>
              <w:rPr>
                <w:b/>
              </w:rPr>
              <w:t xml:space="preserve">Gösterge</w:t>
            </w:r>
          </w:p>
        </w:tc>
        <w:tc>
          <w:tcPr/>
          <w:p>
            <w:pPr>
              <w:pStyle w:val="Compact"/>
              <w:jc w:val="left"/>
            </w:pPr>
            <w:r>
              <w:rPr>
                <w:b/>
              </w:rPr>
              <w:t xml:space="preserve">Hesaplama</w:t>
            </w:r>
          </w:p>
        </w:tc>
      </w:tr>
      <w:tr>
        <w:tc>
          <w:tcPr/>
          <w:p>
            <w:pPr>
              <w:pStyle w:val="Compact"/>
              <w:jc w:val="left"/>
            </w:pPr>
            <w:r>
              <w:t xml:space="preserve">Kayıp günlü kaza sayısı</w:t>
            </w:r>
          </w:p>
        </w:tc>
        <w:tc>
          <w:tcPr/>
          <w:p>
            <w:pPr>
              <w:pStyle w:val="Compact"/>
              <w:jc w:val="left"/>
            </w:pPr>
            <w:r>
              <w:t xml:space="preserve">Yıl içinde en az bir iş günü kaybına yol açan kaza sayısı</w:t>
            </w:r>
          </w:p>
        </w:tc>
      </w:tr>
      <w:tr>
        <w:tc>
          <w:tcPr/>
          <w:p>
            <w:pPr>
              <w:pStyle w:val="Compact"/>
              <w:jc w:val="left"/>
            </w:pPr>
            <w:r>
              <w:t xml:space="preserve">Kayıp günlü kaza sıklık oranı</w:t>
            </w:r>
          </w:p>
        </w:tc>
        <w:tc>
          <w:tcPr/>
          <w:p>
            <w:pPr>
              <w:pStyle w:val="Compact"/>
              <w:jc w:val="left"/>
            </w:pPr>
            <w:r>
              <w:t xml:space="preserve">(Kayıp günlü kaza sayısı x 1.000.000) / toplam fiili çalışma saati</w:t>
            </w:r>
          </w:p>
        </w:tc>
      </w:tr>
      <w:tr>
        <w:tc>
          <w:tcPr/>
          <w:p>
            <w:pPr>
              <w:pStyle w:val="Compact"/>
              <w:jc w:val="left"/>
            </w:pPr>
            <w:r>
              <w:t xml:space="preserve">Toplam kayıp iş günü</w:t>
            </w:r>
          </w:p>
        </w:tc>
        <w:tc>
          <w:tcPr/>
          <w:p>
            <w:pPr>
              <w:pStyle w:val="Compact"/>
              <w:jc w:val="left"/>
            </w:pPr>
            <w:r>
              <w:t xml:space="preserve">Kazalar nedeniyle kaybedilen iş günü toplamı</w:t>
            </w:r>
          </w:p>
        </w:tc>
      </w:tr>
      <w:tr>
        <w:tc>
          <w:tcPr/>
          <w:p>
            <w:pPr>
              <w:pStyle w:val="Compact"/>
              <w:jc w:val="left"/>
            </w:pPr>
            <w:r>
              <w:t xml:space="preserve">Ölümlü kaza sayısı</w:t>
            </w:r>
          </w:p>
        </w:tc>
        <w:tc>
          <w:tcPr/>
          <w:p>
            <w:pPr>
              <w:pStyle w:val="Compact"/>
              <w:jc w:val="left"/>
            </w:pPr>
            <w:r>
              <w:t xml:space="preserve">Yıl içindeki ölümlü kaza sayısı</w:t>
            </w:r>
          </w:p>
        </w:tc>
      </w:tr>
      <w:tr>
        <w:tc>
          <w:tcPr/>
          <w:p>
            <w:pPr>
              <w:pStyle w:val="Compact"/>
              <w:jc w:val="left"/>
            </w:pPr>
            <w:r>
              <w:t xml:space="preserve">Meslek hastalığı vakası</w:t>
            </w:r>
          </w:p>
        </w:tc>
        <w:tc>
          <w:tcPr/>
          <w:p>
            <w:pPr>
              <w:pStyle w:val="Compact"/>
              <w:jc w:val="left"/>
            </w:pPr>
            <w:r>
              <w:t xml:space="preserve">Yıl içinde tanı konan vaka sayısı</w:t>
            </w:r>
          </w:p>
        </w:tc>
      </w:tr>
      <w:tr>
        <w:tc>
          <w:tcPr/>
          <w:p>
            <w:pPr>
              <w:pStyle w:val="Compact"/>
              <w:jc w:val="left"/>
            </w:pPr>
            <w:r>
              <w:t xml:space="preserve">Ramak kala bildirimi</w:t>
            </w:r>
          </w:p>
        </w:tc>
        <w:tc>
          <w:tcPr/>
          <w:p>
            <w:pPr>
              <w:pStyle w:val="Compact"/>
              <w:jc w:val="left"/>
            </w:pPr>
            <w:r>
              <w:t xml:space="preserve">Yıl içindeki bildirim sayısı ve kapatılan DÖF oranı</w:t>
            </w:r>
          </w:p>
        </w:tc>
      </w:tr>
    </w:tbl>
    <w:p>
      <w:pPr>
        <w:pStyle w:val="BodyText"/>
      </w:pPr>
      <w:r>
        <w:t xml:space="preserve">Göstergeler SP Architects çalışanları ve SP Architects'in yönettiği şantiyelerdeki alt işveren çalışanları için ayrı ayrı raporlanır.</w:t>
      </w:r>
    </w:p>
    <w:bookmarkEnd w:id="31"/>
    <w:bookmarkEnd w:id="32"/>
    <w:bookmarkStart w:id="33" w:name="ilgili-dokümanlar"/>
    <w:p>
      <w:pPr>
        <w:pStyle w:val="Heading3"/>
      </w:pPr>
      <w:r>
        <w:t xml:space="preserve">6. İlgili Dokümanlar</w:t>
      </w:r>
    </w:p>
    <w:p>
      <w:pPr>
        <w:numPr>
          <w:ilvl w:val="0"/>
          <w:numId w:val="1010"/>
        </w:numPr>
        <w:pStyle w:val="Compact"/>
      </w:pPr>
      <w:r>
        <w:t xml:space="preserve">İş Kazası Tutanağı (İSK.FR.008)</w:t>
      </w:r>
    </w:p>
    <w:p>
      <w:pPr>
        <w:numPr>
          <w:ilvl w:val="0"/>
          <w:numId w:val="1010"/>
        </w:numPr>
        <w:pStyle w:val="Compact"/>
      </w:pPr>
      <w:r>
        <w:t xml:space="preserve">Düzeltici ve Önleyici Faaliyet Formu (EK-4)</w:t>
      </w:r>
    </w:p>
    <w:p>
      <w:pPr>
        <w:numPr>
          <w:ilvl w:val="0"/>
          <w:numId w:val="1010"/>
        </w:numPr>
        <w:pStyle w:val="Compact"/>
      </w:pPr>
      <w:r>
        <w:t xml:space="preserve">İş Kazaları Takip Listesi (F.10.07)</w:t>
      </w:r>
    </w:p>
    <w:p>
      <w:pPr>
        <w:numPr>
          <w:ilvl w:val="0"/>
          <w:numId w:val="1010"/>
        </w:numPr>
        <w:pStyle w:val="Compact"/>
      </w:pPr>
      <w:r>
        <w:t xml:space="preserve">İSG Tehlike Tanımlama ve Risk Analiz Formu (F.10.04)</w:t>
      </w:r>
    </w:p>
    <w:p>
      <w:pPr>
        <w:numPr>
          <w:ilvl w:val="0"/>
          <w:numId w:val="1010"/>
        </w:numPr>
        <w:pStyle w:val="Compact"/>
      </w:pPr>
      <w:r>
        <w:t xml:space="preserve">İSG Yönetim Sistemi Prosedürü (EK-1)</w:t>
      </w:r>
    </w:p>
    <w:p>
      <w:pPr>
        <w:numPr>
          <w:ilvl w:val="0"/>
          <w:numId w:val="1010"/>
        </w:numPr>
        <w:pStyle w:val="Compact"/>
      </w:pPr>
      <w:r>
        <w:t xml:space="preserve">Acil Eylem Planı (F.10.09)</w:t>
      </w:r>
    </w:p>
    <w:tbl>
      <w:tblPr>
        <w:tblStyle w:val="Table"/>
        <w:tblW w:type="auto" w:w="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2640"/>
        <w:gridCol w:w="2640"/>
        <w:gridCol w:w="2640"/>
      </w:tblGrid>
      <w:tr>
        <w:trPr>
          <w:tblHeader w:val="true"/>
        </w:trPr>
        <w:tc>
          <w:tcPr/>
          <w:p>
            <w:pPr>
              <w:pStyle w:val="Compact"/>
              <w:jc w:val="left"/>
            </w:pPr>
            <w:r>
              <w:rPr>
                <w:b/>
              </w:rPr>
              <w:t xml:space="preserve">Yürürlük tarihi</w:t>
            </w:r>
          </w:p>
        </w:tc>
        <w:tc>
          <w:tcPr/>
          <w:p>
            <w:pPr>
              <w:pStyle w:val="Compact"/>
              <w:jc w:val="left"/>
            </w:pPr>
            <w:r>
              <w:rPr>
                <w:b/>
              </w:rPr>
              <w:t xml:space="preserve">Rev. No</w:t>
            </w:r>
          </w:p>
        </w:tc>
        <w:tc>
          <w:tcPr/>
          <w:p>
            <w:pPr>
              <w:pStyle w:val="Compact"/>
              <w:jc w:val="left"/>
            </w:pPr>
            <w:r>
              <w:rPr>
                <w:b/>
              </w:rPr>
              <w:t xml:space="preserve">Onaylayan</w:t>
            </w:r>
          </w:p>
        </w:tc>
      </w:tr>
      <w:tr>
        <w:tc>
          <w:tcPr/>
          <w:p>
            <w:pPr>
              <w:pStyle w:val="Compact"/>
              <w:jc w:val="left"/>
            </w:pPr>
            <w:r>
              <w:t xml:space="preserve">[tarih]</w:t>
            </w:r>
          </w:p>
        </w:tc>
        <w:tc>
          <w:tcPr/>
          <w:p>
            <w:pPr>
              <w:pStyle w:val="Compact"/>
              <w:jc w:val="left"/>
            </w:pPr>
            <w:r>
              <w:t xml:space="preserve">[00]</w:t>
            </w:r>
          </w:p>
        </w:tc>
        <w:tc>
          <w:tcPr/>
          <w:p>
            <w:pPr>
              <w:pStyle w:val="Compact"/>
              <w:jc w:val="left"/>
            </w:pPr>
            <w:r>
              <w:t xml:space="preserve">Sabri Paşayiğit, Kurucu Ortak / Genel Müdür</w:t>
            </w:r>
          </w:p>
        </w:tc>
      </w:tr>
    </w:tbl>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0F2A52"/>
      <w:sz w:val="40"/>
      <w:szCs w:val="36"/>
    </w:rPr>
  </w:style>
  <w:style w:styleId="Subtitle" w:type="paragraph">
    <w:name w:val="Subtitle"/>
    <w:basedOn w:val="Title"/>
    <w:next w:val="BodyText"/>
    <w:qFormat/>
    <w:pPr>
      <w:keepNext/>
      <w:keepLines/>
      <w:spacing w:after="240" w:before="240"/>
      <w:jc w:val="center"/>
    </w:pPr>
    <w:rPr>
      <w:rFonts w:ascii="Calibri" w:hAnsi="Calibri"/>
      <w:b w:val="0"/>
      <w:color w:val="0F2A52"/>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İş Kazası, Ramak Kala ve Meslek Hastalığı Prosedürü</dc:title>
  <dc:creator/>
  <cp:keywords/>
  <dcterms:created xsi:type="dcterms:W3CDTF">2026-10-14T16:17:16Z</dcterms:created>
  <dcterms:modified xsi:type="dcterms:W3CDTF">2026-10-14T16:17:16Z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SP Architects · REM Mimarlık Dekorasyon Restorasyon Proje ve Taahhüt Hizmetleri Ltd. Şti. · Taslak 1.0 · Ekim 2026</vt:lpwstr>
  </property>
</Properties>
</file>