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w:t>
      </w:r>
      <w:r>
        <w:t xml:space="preserve"> </w:t>
      </w:r>
      <w:r>
        <w:t xml:space="preserve">Accident,</w:t>
      </w:r>
      <w:r>
        <w:t xml:space="preserve"> </w:t>
      </w:r>
      <w:r>
        <w:t xml:space="preserve">Near-Miss</w:t>
      </w:r>
      <w:r>
        <w:t xml:space="preserve"> </w:t>
      </w:r>
      <w:r>
        <w:t xml:space="preserve">and</w:t>
      </w:r>
      <w:r>
        <w:t xml:space="preserve"> </w:t>
      </w:r>
      <w:r>
        <w:t xml:space="preserve">Occupational</w:t>
      </w:r>
      <w:r>
        <w:t xml:space="preserve"> </w:t>
      </w:r>
      <w:r>
        <w:t xml:space="preserve">Disease</w:t>
      </w:r>
      <w:r>
        <w:t xml:space="preserve"> </w:t>
      </w:r>
      <w:r>
        <w:t xml:space="preserve">Procedure</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
    <w:p>
      <w:pPr>
        <w:pStyle w:val="Heading3"/>
      </w:pPr>
      <w:r>
        <w:t xml:space="preserve">1. Purpose</w:t>
      </w:r>
    </w:p>
    <w:p>
      <w:pPr>
        <w:pStyle w:val="FirstParagraph"/>
      </w:pPr>
      <w:r>
        <w:t xml:space="preserve">This procedure sets out what REM Mimarlık Dekorasyon Restorasyon Proje ve Taahhüt Hizmetleri Ltd. Şti. ("SP Architects") does when a work accident, near miss or occupational disease occurs. The first priority is always the health and wellbeing of the person affected; the second is to learn from the event and prevent it happening again. The procedure applies ILO Conventions No. 155 and No. 187, which recognise a safe and healthy working environment as a fundamental right, UN Global Compact Principles 1–6 and Policy 7 — Health, Safety and Wellbeing, and supports section 10.1 of the OHS Management System Procedure (EK-1).</w:t>
      </w:r>
    </w:p>
    <w:bookmarkEnd w:id="20"/>
    <w:bookmarkStart w:id="21" w:name="scope"/>
    <w:p>
      <w:pPr>
        <w:pStyle w:val="Heading3"/>
      </w:pPr>
      <w:r>
        <w:t xml:space="preserve">2. Scope</w:t>
      </w:r>
    </w:p>
    <w:p>
      <w:pPr>
        <w:pStyle w:val="FirstParagraph"/>
      </w:pPr>
      <w:r>
        <w:t xml:space="preserve">It covers work accidents, near misses and occupational diseases affecting employees, interns, sub-contractor, contractor and sub-consultant workers and visitors at all SP Architects offices, project sites, construction sites it manages and other places where people are working on SP Architects' behalf.</w:t>
      </w:r>
    </w:p>
    <w:bookmarkEnd w:id="21"/>
    <w:bookmarkStart w:id="22" w:name="definitions"/>
    <w:p>
      <w:pPr>
        <w:pStyle w:val="Heading3"/>
      </w:pPr>
      <w:r>
        <w:t xml:space="preserve">3. Definitions</w:t>
      </w:r>
    </w:p>
    <w:p>
      <w:pPr>
        <w:numPr>
          <w:ilvl w:val="0"/>
          <w:numId w:val="1001"/>
        </w:numPr>
        <w:pStyle w:val="Compact"/>
      </w:pPr>
      <w:r>
        <w:rPr>
          <w:bCs/>
          <w:b/>
        </w:rPr>
        <w:t xml:space="preserve">Work accident</w:t>
      </w:r>
      <w:r>
        <w:t xml:space="preserve"> </w:t>
      </w:r>
      <w:r>
        <w:t xml:space="preserve">and</w:t>
      </w:r>
      <w:r>
        <w:t xml:space="preserve"> </w:t>
      </w:r>
      <w:r>
        <w:rPr>
          <w:bCs/>
          <w:b/>
        </w:rPr>
        <w:t xml:space="preserve">occupational disease:</w:t>
      </w:r>
      <w:r>
        <w:t xml:space="preserve"> </w:t>
      </w:r>
      <w:r>
        <w:t xml:space="preserve">as defined in the OHS Management System Procedure (EK-1).</w:t>
      </w:r>
    </w:p>
    <w:p>
      <w:pPr>
        <w:numPr>
          <w:ilvl w:val="0"/>
          <w:numId w:val="1001"/>
        </w:numPr>
        <w:pStyle w:val="Compact"/>
      </w:pPr>
      <w:r>
        <w:rPr>
          <w:bCs/>
          <w:b/>
        </w:rPr>
        <w:t xml:space="preserve">Near miss:</w:t>
      </w:r>
      <w:r>
        <w:t xml:space="preserve"> </w:t>
      </w:r>
      <w:r>
        <w:t xml:space="preserve">an event that did not, but could have, resulted in injury, ill health, damage or loss (for example, a dropped object that hits no one, a slip without a fall, an exposed live cable).</w:t>
      </w:r>
    </w:p>
    <w:p>
      <w:pPr>
        <w:numPr>
          <w:ilvl w:val="0"/>
          <w:numId w:val="1001"/>
        </w:numPr>
        <w:pStyle w:val="Compact"/>
      </w:pPr>
      <w:r>
        <w:rPr>
          <w:bCs/>
          <w:b/>
        </w:rPr>
        <w:t xml:space="preserve">Lost-time accident:</w:t>
      </w:r>
      <w:r>
        <w:t xml:space="preserve"> </w:t>
      </w:r>
      <w:r>
        <w:t xml:space="preserve">an accident that leaves the injured person unable to work for at least one working day after the day of the accident.</w:t>
      </w:r>
    </w:p>
    <w:p>
      <w:pPr>
        <w:numPr>
          <w:ilvl w:val="0"/>
          <w:numId w:val="1001"/>
        </w:numPr>
        <w:pStyle w:val="Compact"/>
      </w:pPr>
      <w:r>
        <w:rPr>
          <w:bCs/>
          <w:b/>
        </w:rPr>
        <w:t xml:space="preserve">Root cause analysis:</w:t>
      </w:r>
      <w:r>
        <w:t xml:space="preserve"> </w:t>
      </w:r>
      <w:r>
        <w:t xml:space="preserve">identifying the system, organisational, design and management causes behind the immediate cause of an event.</w:t>
      </w:r>
    </w:p>
    <w:p>
      <w:pPr>
        <w:numPr>
          <w:ilvl w:val="0"/>
          <w:numId w:val="1001"/>
        </w:numPr>
        <w:pStyle w:val="Compact"/>
      </w:pPr>
      <w:r>
        <w:rPr>
          <w:bCs/>
          <w:b/>
        </w:rPr>
        <w:t xml:space="preserve">OHS Committee (İSGK):</w:t>
      </w:r>
      <w:r>
        <w:t xml:space="preserve"> </w:t>
      </w:r>
      <w:r>
        <w:t xml:space="preserve">the statutory committee or, where none is required, the OHS Coordination Meeting of the MR, the OHS specialist and the employee representative.</w:t>
      </w:r>
    </w:p>
    <w:p>
      <w:pPr>
        <w:numPr>
          <w:ilvl w:val="0"/>
          <w:numId w:val="1001"/>
        </w:numPr>
        <w:pStyle w:val="Compact"/>
      </w:pPr>
      <w:r>
        <w:rPr>
          <w:bCs/>
          <w:b/>
        </w:rPr>
        <w:t xml:space="preserve">SGK:</w:t>
      </w:r>
      <w:r>
        <w:t xml:space="preserve"> </w:t>
      </w:r>
      <w:r>
        <w:t xml:space="preserve">Social Security Institution (Sosyal Güvenlik Kurumu).</w:t>
      </w:r>
      <w:r>
        <w:t xml:space="preserve"> </w:t>
      </w:r>
      <w:r>
        <w:rPr>
          <w:bCs/>
          <w:b/>
        </w:rPr>
        <w:t xml:space="preserve">MR:</w:t>
      </w:r>
      <w:r>
        <w:t xml:space="preserve"> </w:t>
      </w:r>
      <w:r>
        <w:t xml:space="preserve">Management Representative (OHS Coordinator).</w:t>
      </w:r>
    </w:p>
    <w:bookmarkEnd w:id="22"/>
    <w:bookmarkStart w:id="23" w:name="responsibilities"/>
    <w:p>
      <w:pPr>
        <w:pStyle w:val="Heading3"/>
      </w:pPr>
      <w:r>
        <w:t xml:space="preserve">4. Responsibilities</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Role</w:t>
            </w:r>
          </w:p>
        </w:tc>
        <w:tc>
          <w:tcPr/>
          <w:p>
            <w:pPr>
              <w:pStyle w:val="Compact"/>
              <w:jc w:val="left"/>
            </w:pPr>
            <w:r>
              <w:rPr>
                <w:b/>
              </w:rPr>
              <w:t xml:space="preserve">Responsibilities</w:t>
            </w:r>
          </w:p>
        </w:tc>
      </w:tr>
      <w:tr>
        <w:tc>
          <w:tcPr/>
          <w:p>
            <w:pPr>
              <w:pStyle w:val="Compact"/>
              <w:jc w:val="left"/>
            </w:pPr>
            <w:r>
              <w:t xml:space="preserve">Department / project / site manager</w:t>
            </w:r>
          </w:p>
        </w:tc>
        <w:tc>
          <w:tcPr/>
          <w:p>
            <w:pPr>
              <w:pStyle w:val="Compact"/>
              <w:jc w:val="left"/>
            </w:pPr>
            <w:r>
              <w:t xml:space="preserve">Organises the immediate response, calls or has someone call 112, ensures the report is completed, informs the MR the same day and makes sure legal notifications are made on time; takes part in root cause analysis.</w:t>
            </w:r>
          </w:p>
        </w:tc>
      </w:tr>
      <w:tr>
        <w:tc>
          <w:tcPr/>
          <w:p>
            <w:pPr>
              <w:pStyle w:val="Compact"/>
              <w:jc w:val="left"/>
            </w:pPr>
            <w:r>
              <w:t xml:space="preserve">Management Representative (OHS Coordinator)</w:t>
            </w:r>
          </w:p>
        </w:tc>
        <w:tc>
          <w:tcPr/>
          <w:p>
            <w:pPr>
              <w:pStyle w:val="Compact"/>
              <w:jc w:val="left"/>
            </w:pPr>
            <w:r>
              <w:t xml:space="preserve">Tracks the SGK notification deadline, keeps records, coordinates root cause analysis and CAPA, prepares annual statistics.</w:t>
            </w:r>
          </w:p>
        </w:tc>
      </w:tr>
      <w:tr>
        <w:tc>
          <w:tcPr/>
          <w:p>
            <w:pPr>
              <w:pStyle w:val="Compact"/>
              <w:jc w:val="left"/>
            </w:pPr>
            <w:r>
              <w:t xml:space="preserve">Person authorised to notify SGK</w:t>
            </w:r>
          </w:p>
        </w:tc>
        <w:tc>
          <w:tcPr/>
          <w:p>
            <w:pPr>
              <w:pStyle w:val="Compact"/>
              <w:jc w:val="left"/>
            </w:pPr>
            <w:r>
              <w:t xml:space="preserve">[Name Surname] (deputy: [Name Surname]) — submits the notification via the SGK e-notification system and files the receipt.</w:t>
            </w:r>
          </w:p>
        </w:tc>
      </w:tr>
      <w:tr>
        <w:tc>
          <w:tcPr/>
          <w:p>
            <w:pPr>
              <w:pStyle w:val="Compact"/>
              <w:jc w:val="left"/>
            </w:pPr>
            <w:r>
              <w:t xml:space="preserve">OHS specialist and occupational physician</w:t>
            </w:r>
          </w:p>
        </w:tc>
        <w:tc>
          <w:tcPr/>
          <w:p>
            <w:pPr>
              <w:pStyle w:val="Compact"/>
              <w:jc w:val="left"/>
            </w:pPr>
            <w:r>
              <w:t xml:space="preserve">Provide technical support to the investigation, assess suspected occupational disease, decide fitness to return to work.</w:t>
            </w:r>
          </w:p>
        </w:tc>
      </w:tr>
      <w:tr>
        <w:tc>
          <w:tcPr/>
          <w:p>
            <w:pPr>
              <w:pStyle w:val="Compact"/>
              <w:jc w:val="left"/>
            </w:pPr>
            <w:r>
              <w:t xml:space="preserve">OHS Committee / employee representative</w:t>
            </w:r>
          </w:p>
        </w:tc>
        <w:tc>
          <w:tcPr/>
          <w:p>
            <w:pPr>
              <w:pStyle w:val="Compact"/>
              <w:jc w:val="left"/>
            </w:pPr>
            <w:r>
              <w:t xml:space="preserve">Take part in root cause analysis, recommend measures, check that findings are shared with employees.</w:t>
            </w:r>
          </w:p>
        </w:tc>
      </w:tr>
      <w:tr>
        <w:tc>
          <w:tcPr/>
          <w:p>
            <w:pPr>
              <w:pStyle w:val="Compact"/>
              <w:jc w:val="left"/>
            </w:pPr>
            <w:r>
              <w:t xml:space="preserve">Injured person and witnesses</w:t>
            </w:r>
          </w:p>
        </w:tc>
        <w:tc>
          <w:tcPr/>
          <w:p>
            <w:pPr>
              <w:pStyle w:val="Compact"/>
              <w:jc w:val="left"/>
            </w:pPr>
            <w:r>
              <w:t xml:space="preserve">Where able, describe accurately how the event happened; tell the healthcare provider that it was a work accident.</w:t>
            </w:r>
          </w:p>
        </w:tc>
      </w:tr>
      <w:tr>
        <w:tc>
          <w:tcPr/>
          <w:p>
            <w:pPr>
              <w:pStyle w:val="Compact"/>
              <w:jc w:val="left"/>
            </w:pPr>
            <w:r>
              <w:t xml:space="preserve">All employees</w:t>
            </w:r>
          </w:p>
        </w:tc>
        <w:tc>
          <w:tcPr/>
          <w:p>
            <w:pPr>
              <w:pStyle w:val="Compact"/>
              <w:jc w:val="left"/>
            </w:pPr>
            <w:r>
              <w:t xml:space="preserve">Report accidents and near misses immediately; assist the first-aid team.</w:t>
            </w:r>
          </w:p>
        </w:tc>
      </w:tr>
      <w:tr>
        <w:tc>
          <w:tcPr/>
          <w:p>
            <w:pPr>
              <w:pStyle w:val="Compact"/>
              <w:jc w:val="left"/>
            </w:pPr>
            <w:r>
              <w:t xml:space="preserve">Sub-contractors and contractors</w:t>
            </w:r>
          </w:p>
        </w:tc>
        <w:tc>
          <w:tcPr/>
          <w:p>
            <w:pPr>
              <w:pStyle w:val="Compact"/>
              <w:jc w:val="left"/>
            </w:pPr>
            <w:r>
              <w:t xml:space="preserve">Report accidents involving their workers to SP Architects immediately, make their own legal notifications and take part in root cause analysis (Policy 8).</w:t>
            </w:r>
          </w:p>
        </w:tc>
      </w:tr>
    </w:tbl>
    <w:p>
      <w:pPr>
        <w:pStyle w:val="BodyText"/>
      </w:pPr>
      <w:r>
        <w:t xml:space="preserve">The employer's OHS responsibility is not removed by the obligations of workers or contractors (Occupational Health and Safety Law No. 6331, Art. 4).</w:t>
      </w:r>
    </w:p>
    <w:bookmarkEnd w:id="23"/>
    <w:bookmarkStart w:id="32" w:name="procedure"/>
    <w:p>
      <w:pPr>
        <w:pStyle w:val="Heading3"/>
      </w:pPr>
      <w:r>
        <w:t xml:space="preserve">5. Procedure</w:t>
      </w:r>
    </w:p>
    <w:bookmarkStart w:id="24" w:name="immediate-response"/>
    <w:p>
      <w:pPr>
        <w:pStyle w:val="Heading4"/>
      </w:pPr>
      <w:r>
        <w:t xml:space="preserve">5.1 Immediate response</w:t>
      </w:r>
    </w:p>
    <w:p>
      <w:pPr>
        <w:numPr>
          <w:ilvl w:val="0"/>
          <w:numId w:val="1002"/>
        </w:numPr>
        <w:pStyle w:val="Compact"/>
      </w:pPr>
      <w:r>
        <w:t xml:space="preserve">Make the area safe; if the hazard persists, stop work and cordon off the area.</w:t>
      </w:r>
    </w:p>
    <w:p>
      <w:pPr>
        <w:numPr>
          <w:ilvl w:val="0"/>
          <w:numId w:val="1002"/>
        </w:numPr>
        <w:pStyle w:val="Compact"/>
      </w:pPr>
      <w:r>
        <w:t xml:space="preserve">Call 112 (emergency services).</w:t>
      </w:r>
    </w:p>
    <w:p>
      <w:pPr>
        <w:numPr>
          <w:ilvl w:val="0"/>
          <w:numId w:val="1002"/>
        </w:numPr>
        <w:pStyle w:val="Compact"/>
      </w:pPr>
      <w:r>
        <w:t xml:space="preserve">Until the ambulance arrives, a trained first-aider gives first aid; the injured person is not left alone.</w:t>
      </w:r>
    </w:p>
    <w:p>
      <w:pPr>
        <w:numPr>
          <w:ilvl w:val="0"/>
          <w:numId w:val="1002"/>
        </w:numPr>
        <w:pStyle w:val="Compact"/>
      </w:pPr>
      <w:r>
        <w:t xml:space="preserve">Where possible, a colleague accompanies the injured person to the healthcare provider.</w:t>
      </w:r>
    </w:p>
    <w:p>
      <w:pPr>
        <w:numPr>
          <w:ilvl w:val="0"/>
          <w:numId w:val="1002"/>
        </w:numPr>
        <w:pStyle w:val="Compact"/>
      </w:pPr>
      <w:r>
        <w:t xml:space="preserve">The scene is left undisturbed (unless safety requires otherwise) until the investigation is complete, and photographed.</w:t>
      </w:r>
    </w:p>
    <w:bookmarkEnd w:id="24"/>
    <w:bookmarkStart w:id="25" w:name="recording"/>
    <w:p>
      <w:pPr>
        <w:pStyle w:val="Heading4"/>
      </w:pPr>
      <w:r>
        <w:t xml:space="preserve">5.2 Recording</w:t>
      </w:r>
    </w:p>
    <w:p>
      <w:pPr>
        <w:numPr>
          <w:ilvl w:val="0"/>
          <w:numId w:val="1003"/>
        </w:numPr>
        <w:pStyle w:val="Compact"/>
      </w:pPr>
      <w:r>
        <w:t xml:space="preserve">If the injured person is conscious, they are asked how the accident happened. Witness statements are taken and entered on the Work Accident Report (İSK.FR.008), which witnesses and, when able, the injured person sign.</w:t>
      </w:r>
    </w:p>
    <w:p>
      <w:pPr>
        <w:numPr>
          <w:ilvl w:val="0"/>
          <w:numId w:val="1003"/>
        </w:numPr>
        <w:pStyle w:val="Compact"/>
      </w:pPr>
      <w:r>
        <w:t xml:space="preserve">Before signing, the injured person may read the report, add their own statement and receive a copy; no one is pressed to sign.</w:t>
      </w:r>
    </w:p>
    <w:p>
      <w:pPr>
        <w:numPr>
          <w:ilvl w:val="0"/>
          <w:numId w:val="1003"/>
        </w:numPr>
        <w:pStyle w:val="Compact"/>
      </w:pPr>
      <w:r>
        <w:t xml:space="preserve">If the injured person is unconscious, the report is completed from witness statements and their own account is added once they have recovered.</w:t>
      </w:r>
    </w:p>
    <w:p>
      <w:pPr>
        <w:numPr>
          <w:ilvl w:val="0"/>
          <w:numId w:val="1003"/>
        </w:numPr>
        <w:pStyle w:val="Compact"/>
      </w:pPr>
      <w:r>
        <w:t xml:space="preserve">The MR is informed the same day and a copy of the report goes to the OHS Committee.</w:t>
      </w:r>
    </w:p>
    <w:bookmarkEnd w:id="25"/>
    <w:bookmarkStart w:id="26" w:name="legal-notifications"/>
    <w:p>
      <w:pPr>
        <w:pStyle w:val="Heading4"/>
      </w:pPr>
      <w:r>
        <w:t xml:space="preserve">5.3 Legal notifications</w:t>
      </w:r>
    </w:p>
    <w:p>
      <w:pPr>
        <w:numPr>
          <w:ilvl w:val="0"/>
          <w:numId w:val="1004"/>
        </w:numPr>
        <w:pStyle w:val="Compact"/>
      </w:pPr>
      <w:r>
        <w:rPr>
          <w:bCs/>
          <w:b/>
        </w:rPr>
        <w:t xml:space="preserve">Police:</w:t>
      </w:r>
      <w:r>
        <w:t xml:space="preserve"> </w:t>
      </w:r>
      <w:r>
        <w:t xml:space="preserve">where required, the accident is reported immediately to the competent police or gendarmerie at the scene.</w:t>
      </w:r>
    </w:p>
    <w:p>
      <w:pPr>
        <w:numPr>
          <w:ilvl w:val="0"/>
          <w:numId w:val="1004"/>
        </w:numPr>
        <w:pStyle w:val="Compact"/>
      </w:pPr>
      <w:r>
        <w:rPr>
          <w:bCs/>
          <w:b/>
        </w:rPr>
        <w:t xml:space="preserve">SGK — work accident:</w:t>
      </w:r>
      <w:r>
        <w:t xml:space="preserve"> </w:t>
      </w:r>
      <w:r>
        <w:t xml:space="preserve">notified by the authorised person through the SGK e-notification system within 3 working days of the accident (Law No. 6331, Art. 14).</w:t>
      </w:r>
    </w:p>
    <w:p>
      <w:pPr>
        <w:numPr>
          <w:ilvl w:val="0"/>
          <w:numId w:val="1004"/>
        </w:numPr>
        <w:pStyle w:val="Compact"/>
      </w:pPr>
      <w:r>
        <w:rPr>
          <w:bCs/>
          <w:b/>
        </w:rPr>
        <w:t xml:space="preserve">SGK — occupational disease:</w:t>
      </w:r>
      <w:r>
        <w:t xml:space="preserve"> </w:t>
      </w:r>
      <w:r>
        <w:t xml:space="preserve">notified within 3 working days of the date it is reported by the occupational physician or healthcare provider, or otherwise becomes known.</w:t>
      </w:r>
    </w:p>
    <w:p>
      <w:pPr>
        <w:numPr>
          <w:ilvl w:val="0"/>
          <w:numId w:val="1004"/>
        </w:numPr>
        <w:pStyle w:val="Compact"/>
      </w:pPr>
      <w:r>
        <w:rPr>
          <w:bCs/>
          <w:b/>
        </w:rPr>
        <w:t xml:space="preserve">Sub-contractor workers:</w:t>
      </w:r>
      <w:r>
        <w:t xml:space="preserve"> </w:t>
      </w:r>
      <w:r>
        <w:t xml:space="preserve">the sub-contractor notifies the accident within the legal deadline and sends SP Architects a copy of the receipt; SP Architects confirms the notification has been made.</w:t>
      </w:r>
    </w:p>
    <w:p>
      <w:pPr>
        <w:numPr>
          <w:ilvl w:val="0"/>
          <w:numId w:val="1004"/>
        </w:numPr>
        <w:pStyle w:val="Compact"/>
      </w:pPr>
      <w:r>
        <w:t xml:space="preserve">The notification receipt is placed on the incident file.</w:t>
      </w:r>
    </w:p>
    <w:bookmarkEnd w:id="26"/>
    <w:bookmarkStart w:id="27" w:name="near-miss-reporting"/>
    <w:p>
      <w:pPr>
        <w:pStyle w:val="Heading4"/>
      </w:pPr>
      <w:r>
        <w:t xml:space="preserve">5.4 Near-miss reporting</w:t>
      </w:r>
    </w:p>
    <w:p>
      <w:pPr>
        <w:pStyle w:val="FirstParagraph"/>
      </w:pPr>
      <w:r>
        <w:t xml:space="preserve">Any employee, contractor or visitor can, and is encouraged to, report a near miss. A near miss is an opportunity to learn; no one suffers any adverse consequence for reporting one.</w:t>
      </w:r>
    </w:p>
    <w:p>
      <w:pPr>
        <w:numPr>
          <w:ilvl w:val="0"/>
          <w:numId w:val="1005"/>
        </w:numPr>
        <w:pStyle w:val="Compact"/>
      </w:pPr>
      <w:r>
        <w:t xml:space="preserve">Reports can go to a manager, the MR, the employee representative, via [near-miss reporting channel], or anonymously through the channel under Policy 6 — Speak-Up and Whistleblower Protection.</w:t>
      </w:r>
    </w:p>
    <w:p>
      <w:pPr>
        <w:numPr>
          <w:ilvl w:val="0"/>
          <w:numId w:val="1005"/>
        </w:numPr>
        <w:pStyle w:val="Compact"/>
      </w:pPr>
      <w:r>
        <w:t xml:space="preserve">A report need only say what happened, where, when and what could have happened.</w:t>
      </w:r>
    </w:p>
    <w:p>
      <w:pPr>
        <w:numPr>
          <w:ilvl w:val="0"/>
          <w:numId w:val="1005"/>
        </w:numPr>
        <w:pStyle w:val="Compact"/>
      </w:pPr>
      <w:r>
        <w:t xml:space="preserve">The MR logs it as a near miss on the Work Accident Log (F.10.07), scores the risk and raises CAPA where needed.</w:t>
      </w:r>
    </w:p>
    <w:p>
      <w:pPr>
        <w:numPr>
          <w:ilvl w:val="0"/>
          <w:numId w:val="1005"/>
        </w:numPr>
        <w:pStyle w:val="Compact"/>
      </w:pPr>
      <w:r>
        <w:t xml:space="preserve">The reporter receives feedback on the action taken.</w:t>
      </w:r>
    </w:p>
    <w:bookmarkEnd w:id="27"/>
    <w:bookmarkStart w:id="28" w:name="root-cause-analysis"/>
    <w:p>
      <w:pPr>
        <w:pStyle w:val="Heading4"/>
      </w:pPr>
      <w:r>
        <w:t xml:space="preserve">5.5 Root cause analysis</w:t>
      </w:r>
    </w:p>
    <w:p>
      <w:pPr>
        <w:pStyle w:val="FirstParagraph"/>
      </w:pPr>
      <w:r>
        <w:t xml:space="preserve">Every work accident, occupational disease and high-potential near miss is analysed by the OHS Committee with the relevant manager, the OHS specialist and the employee representative.</w:t>
      </w:r>
    </w:p>
    <w:p>
      <w:pPr>
        <w:numPr>
          <w:ilvl w:val="0"/>
          <w:numId w:val="1006"/>
        </w:numPr>
        <w:pStyle w:val="Compact"/>
      </w:pPr>
      <w:r>
        <w:t xml:space="preserve">The analysis is no-blame: it looks for the conditions that made the event possible — design, equipment, planning, workload, training, instructions, supervision, contractor management — not for a person to blame. Disciplinary action is considered only for deliberate violations or gross negligence, and separately from the investigation.</w:t>
      </w:r>
    </w:p>
    <w:p>
      <w:pPr>
        <w:numPr>
          <w:ilvl w:val="0"/>
          <w:numId w:val="1006"/>
        </w:numPr>
        <w:pStyle w:val="Compact"/>
      </w:pPr>
      <w:r>
        <w:t xml:space="preserve">Methods such as "5 Whys" or a fishbone diagram are used, and the injured person and witnesses are heard.</w:t>
      </w:r>
    </w:p>
    <w:p>
      <w:pPr>
        <w:numPr>
          <w:ilvl w:val="0"/>
          <w:numId w:val="1006"/>
        </w:numPr>
        <w:pStyle w:val="Compact"/>
      </w:pPr>
      <w:r>
        <w:t xml:space="preserve">The analysis is completed within [5] working days and CAPA is opened on the Corrective and Preventive Action Form (EK-4).</w:t>
      </w:r>
    </w:p>
    <w:p>
      <w:pPr>
        <w:numPr>
          <w:ilvl w:val="0"/>
          <w:numId w:val="1006"/>
        </w:numPr>
        <w:pStyle w:val="Compact"/>
      </w:pPr>
      <w:r>
        <w:t xml:space="preserve">The relevant risk assessment (F.10.04) is reviewed and updated.</w:t>
      </w:r>
    </w:p>
    <w:p>
      <w:pPr>
        <w:numPr>
          <w:ilvl w:val="0"/>
          <w:numId w:val="1006"/>
        </w:numPr>
        <w:pStyle w:val="Compact"/>
      </w:pPr>
      <w:r>
        <w:t xml:space="preserve">Lessons learned are shared, with personal data removed, with all relevant employees and, where appropriate, contractors.</w:t>
      </w:r>
    </w:p>
    <w:p>
      <w:pPr>
        <w:pStyle w:val="FirstParagraph"/>
      </w:pPr>
      <w:r>
        <w:t xml:space="preserve">For events whose root cause has been identified, the OHS Committee sends its recommendations to all departments, starting with the one where the event occurred.</w:t>
      </w:r>
    </w:p>
    <w:bookmarkEnd w:id="28"/>
    <w:bookmarkStart w:id="29" w:name="support-for-the-injured-person"/>
    <w:p>
      <w:pPr>
        <w:pStyle w:val="Heading4"/>
      </w:pPr>
      <w:r>
        <w:t xml:space="preserve">5.6 Support for the injured person</w:t>
      </w:r>
    </w:p>
    <w:p>
      <w:pPr>
        <w:numPr>
          <w:ilvl w:val="0"/>
          <w:numId w:val="1007"/>
        </w:numPr>
        <w:pStyle w:val="Compact"/>
      </w:pPr>
      <w:r>
        <w:t xml:space="preserve">Family members, or a person the injured worker nominates, are informed in line with the injured person's wishes.</w:t>
      </w:r>
    </w:p>
    <w:p>
      <w:pPr>
        <w:numPr>
          <w:ilvl w:val="0"/>
          <w:numId w:val="1007"/>
        </w:numPr>
        <w:pStyle w:val="Compact"/>
      </w:pPr>
      <w:r>
        <w:t xml:space="preserve">The injured person is given clear information about treatment, SGK entitlements (such as temporary incapacity allowance) and next steps.</w:t>
      </w:r>
    </w:p>
    <w:p>
      <w:pPr>
        <w:numPr>
          <w:ilvl w:val="0"/>
          <w:numId w:val="1007"/>
        </w:numPr>
        <w:pStyle w:val="Compact"/>
      </w:pPr>
      <w:r>
        <w:t xml:space="preserve">Psychological support or referral is offered to the injured person and to colleagues affected by the event where needed.</w:t>
      </w:r>
    </w:p>
    <w:p>
      <w:pPr>
        <w:numPr>
          <w:ilvl w:val="0"/>
          <w:numId w:val="1007"/>
        </w:numPr>
        <w:pStyle w:val="Compact"/>
      </w:pPr>
      <w:r>
        <w:t xml:space="preserve">No one who reports, witnesses or suffers an accident faces retaliation.</w:t>
      </w:r>
    </w:p>
    <w:p>
      <w:pPr>
        <w:numPr>
          <w:ilvl w:val="0"/>
          <w:numId w:val="1007"/>
        </w:numPr>
        <w:pStyle w:val="Compact"/>
      </w:pPr>
      <w:r>
        <w:t xml:space="preserve">The injured person's health information is kept confidential and processed under Policy 10 — Data Protection and Information Security.</w:t>
      </w:r>
    </w:p>
    <w:bookmarkEnd w:id="29"/>
    <w:bookmarkStart w:id="30" w:name="return-to-work"/>
    <w:p>
      <w:pPr>
        <w:pStyle w:val="Heading4"/>
      </w:pPr>
      <w:r>
        <w:t xml:space="preserve">5.7 Return to work</w:t>
      </w:r>
    </w:p>
    <w:p>
      <w:pPr>
        <w:numPr>
          <w:ilvl w:val="0"/>
          <w:numId w:val="1008"/>
        </w:numPr>
        <w:pStyle w:val="Compact"/>
      </w:pPr>
      <w:r>
        <w:t xml:space="preserve">After a lost-time accident, the occupational physician assesses the person before they return to work.</w:t>
      </w:r>
    </w:p>
    <w:p>
      <w:pPr>
        <w:numPr>
          <w:ilvl w:val="0"/>
          <w:numId w:val="1008"/>
        </w:numPr>
        <w:pStyle w:val="Compact"/>
      </w:pPr>
      <w:r>
        <w:t xml:space="preserve">Where needed, a phased return, temporarily adjusted duties or working pattern is agreed; pay and other entitlements are protected throughout.</w:t>
      </w:r>
    </w:p>
    <w:p>
      <w:pPr>
        <w:numPr>
          <w:ilvl w:val="0"/>
          <w:numId w:val="1008"/>
        </w:numPr>
        <w:pStyle w:val="Compact"/>
      </w:pPr>
      <w:r>
        <w:t xml:space="preserve">On return, the person is briefed on the measures taken and any updated working methods; after accidents without lost time, the briefing takes place soon after the event. This briefing is not a sanction.</w:t>
      </w:r>
    </w:p>
    <w:p>
      <w:pPr>
        <w:numPr>
          <w:ilvl w:val="0"/>
          <w:numId w:val="1008"/>
        </w:numPr>
        <w:pStyle w:val="Compact"/>
      </w:pPr>
      <w:r>
        <w:t xml:space="preserve">After the return, the manager checks in with the person about how they are settling back in and any difficulties.</w:t>
      </w:r>
    </w:p>
    <w:bookmarkEnd w:id="30"/>
    <w:bookmarkStart w:id="31" w:name="records-and-reporting"/>
    <w:p>
      <w:pPr>
        <w:pStyle w:val="Heading4"/>
      </w:pPr>
      <w:r>
        <w:t xml:space="preserve">5.8 Records and reporting</w:t>
      </w:r>
    </w:p>
    <w:p>
      <w:pPr>
        <w:numPr>
          <w:ilvl w:val="0"/>
          <w:numId w:val="1009"/>
        </w:numPr>
        <w:pStyle w:val="Compact"/>
      </w:pPr>
      <w:r>
        <w:t xml:space="preserve">All work accidents, occupational diseases and near misses are entered on the Work Accident Log (F.10.07): date, location, type of event, status (employee / sub-contractor / visitor) and gender of the person affected, type of injury, days lost, SGK notification date and CAPA number.</w:t>
      </w:r>
    </w:p>
    <w:p>
      <w:pPr>
        <w:numPr>
          <w:ilvl w:val="0"/>
          <w:numId w:val="1009"/>
        </w:numPr>
        <w:pStyle w:val="Compact"/>
      </w:pPr>
      <w:r>
        <w:t xml:space="preserve">Records are kept for at least [years] years.</w:t>
      </w:r>
    </w:p>
    <w:p>
      <w:pPr>
        <w:numPr>
          <w:ilvl w:val="0"/>
          <w:numId w:val="1009"/>
        </w:numPr>
        <w:pStyle w:val="Compact"/>
      </w:pPr>
      <w:r>
        <w:t xml:space="preserve">At year end, the MR prepares statistics for the OHS Committee and management review. These data feed SP Architects' UN Global Compact Communication on Progress (CoP):</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Indicator</w:t>
            </w:r>
          </w:p>
        </w:tc>
        <w:tc>
          <w:tcPr/>
          <w:p>
            <w:pPr>
              <w:pStyle w:val="Compact"/>
              <w:jc w:val="left"/>
            </w:pPr>
            <w:r>
              <w:rPr>
                <w:b/>
              </w:rPr>
              <w:t xml:space="preserve">Calculation</w:t>
            </w:r>
          </w:p>
        </w:tc>
      </w:tr>
      <w:tr>
        <w:tc>
          <w:tcPr/>
          <w:p>
            <w:pPr>
              <w:pStyle w:val="Compact"/>
              <w:jc w:val="left"/>
            </w:pPr>
            <w:r>
              <w:t xml:space="preserve">Lost-time accidents</w:t>
            </w:r>
          </w:p>
        </w:tc>
        <w:tc>
          <w:tcPr/>
          <w:p>
            <w:pPr>
              <w:pStyle w:val="Compact"/>
              <w:jc w:val="left"/>
            </w:pPr>
            <w:r>
              <w:t xml:space="preserve">Number of accidents causing at least one lost working day in the year</w:t>
            </w:r>
          </w:p>
        </w:tc>
      </w:tr>
      <w:tr>
        <w:tc>
          <w:tcPr/>
          <w:p>
            <w:pPr>
              <w:pStyle w:val="Compact"/>
              <w:jc w:val="left"/>
            </w:pPr>
            <w:r>
              <w:t xml:space="preserve">Lost-time injury frequency rate</w:t>
            </w:r>
          </w:p>
        </w:tc>
        <w:tc>
          <w:tcPr/>
          <w:p>
            <w:pPr>
              <w:pStyle w:val="Compact"/>
              <w:jc w:val="left"/>
            </w:pPr>
            <w:r>
              <w:t xml:space="preserve">(Lost-time accidents x 1,000,000) / total hours actually worked</w:t>
            </w:r>
          </w:p>
        </w:tc>
      </w:tr>
      <w:tr>
        <w:tc>
          <w:tcPr/>
          <w:p>
            <w:pPr>
              <w:pStyle w:val="Compact"/>
              <w:jc w:val="left"/>
            </w:pPr>
            <w:r>
              <w:t xml:space="preserve">Total days lost</w:t>
            </w:r>
          </w:p>
        </w:tc>
        <w:tc>
          <w:tcPr/>
          <w:p>
            <w:pPr>
              <w:pStyle w:val="Compact"/>
              <w:jc w:val="left"/>
            </w:pPr>
            <w:r>
              <w:t xml:space="preserve">Sum of working days lost through accidents</w:t>
            </w:r>
          </w:p>
        </w:tc>
      </w:tr>
      <w:tr>
        <w:tc>
          <w:tcPr/>
          <w:p>
            <w:pPr>
              <w:pStyle w:val="Compact"/>
              <w:jc w:val="left"/>
            </w:pPr>
            <w:r>
              <w:t xml:space="preserve">Fatalities</w:t>
            </w:r>
          </w:p>
        </w:tc>
        <w:tc>
          <w:tcPr/>
          <w:p>
            <w:pPr>
              <w:pStyle w:val="Compact"/>
              <w:jc w:val="left"/>
            </w:pPr>
            <w:r>
              <w:t xml:space="preserve">Number of fatal accidents in the year</w:t>
            </w:r>
          </w:p>
        </w:tc>
      </w:tr>
      <w:tr>
        <w:tc>
          <w:tcPr/>
          <w:p>
            <w:pPr>
              <w:pStyle w:val="Compact"/>
              <w:jc w:val="left"/>
            </w:pPr>
            <w:r>
              <w:t xml:space="preserve">Occupational disease cases</w:t>
            </w:r>
          </w:p>
        </w:tc>
        <w:tc>
          <w:tcPr/>
          <w:p>
            <w:pPr>
              <w:pStyle w:val="Compact"/>
              <w:jc w:val="left"/>
            </w:pPr>
            <w:r>
              <w:t xml:space="preserve">Number of cases diagnosed in the year</w:t>
            </w:r>
          </w:p>
        </w:tc>
      </w:tr>
      <w:tr>
        <w:tc>
          <w:tcPr/>
          <w:p>
            <w:pPr>
              <w:pStyle w:val="Compact"/>
              <w:jc w:val="left"/>
            </w:pPr>
            <w:r>
              <w:t xml:space="preserve">Near-miss reports</w:t>
            </w:r>
          </w:p>
        </w:tc>
        <w:tc>
          <w:tcPr/>
          <w:p>
            <w:pPr>
              <w:pStyle w:val="Compact"/>
              <w:jc w:val="left"/>
            </w:pPr>
            <w:r>
              <w:t xml:space="preserve">Number of reports in the year and share of related CAPA closed</w:t>
            </w:r>
          </w:p>
        </w:tc>
      </w:tr>
    </w:tbl>
    <w:p>
      <w:pPr>
        <w:pStyle w:val="BodyText"/>
      </w:pPr>
      <w:r>
        <w:t xml:space="preserve">Indicators are reported separately for SP Architects employees and for sub-contractor workers on sites SP Architects manages.</w:t>
      </w:r>
    </w:p>
    <w:bookmarkEnd w:id="31"/>
    <w:bookmarkEnd w:id="32"/>
    <w:bookmarkStart w:id="33" w:name="related-documents"/>
    <w:p>
      <w:pPr>
        <w:pStyle w:val="Heading3"/>
      </w:pPr>
      <w:r>
        <w:t xml:space="preserve">6. Related Documents</w:t>
      </w:r>
    </w:p>
    <w:p>
      <w:pPr>
        <w:numPr>
          <w:ilvl w:val="0"/>
          <w:numId w:val="1010"/>
        </w:numPr>
        <w:pStyle w:val="Compact"/>
      </w:pPr>
      <w:r>
        <w:t xml:space="preserve">Work Accident Report (İSK.FR.008)</w:t>
      </w:r>
    </w:p>
    <w:p>
      <w:pPr>
        <w:numPr>
          <w:ilvl w:val="0"/>
          <w:numId w:val="1010"/>
        </w:numPr>
        <w:pStyle w:val="Compact"/>
      </w:pPr>
      <w:r>
        <w:t xml:space="preserve">Corrective and Preventive Action Form (EK-4)</w:t>
      </w:r>
    </w:p>
    <w:p>
      <w:pPr>
        <w:numPr>
          <w:ilvl w:val="0"/>
          <w:numId w:val="1010"/>
        </w:numPr>
        <w:pStyle w:val="Compact"/>
      </w:pPr>
      <w:r>
        <w:t xml:space="preserve">Work Accident Log (F.10.07)</w:t>
      </w:r>
    </w:p>
    <w:p>
      <w:pPr>
        <w:numPr>
          <w:ilvl w:val="0"/>
          <w:numId w:val="1010"/>
        </w:numPr>
        <w:pStyle w:val="Compact"/>
      </w:pPr>
      <w:r>
        <w:t xml:space="preserve">OHS Hazard Identification and Risk Analysis Form (F.10.04)</w:t>
      </w:r>
    </w:p>
    <w:p>
      <w:pPr>
        <w:numPr>
          <w:ilvl w:val="0"/>
          <w:numId w:val="1010"/>
        </w:numPr>
        <w:pStyle w:val="Compact"/>
      </w:pPr>
      <w:r>
        <w:t xml:space="preserve">OHS Management System Procedure (EK-1)</w:t>
      </w:r>
    </w:p>
    <w:p>
      <w:pPr>
        <w:numPr>
          <w:ilvl w:val="0"/>
          <w:numId w:val="1010"/>
        </w:numPr>
        <w:pStyle w:val="Compact"/>
      </w:pPr>
      <w:r>
        <w:t xml:space="preserve">Emergency Action Plan (F.10.09)</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Effective date</w:t>
            </w:r>
          </w:p>
        </w:tc>
        <w:tc>
          <w:tcPr/>
          <w:p>
            <w:pPr>
              <w:pStyle w:val="Compact"/>
              <w:jc w:val="left"/>
            </w:pPr>
            <w:r>
              <w:rPr>
                <w:b/>
              </w:rPr>
              <w:t xml:space="preserve">Rev. No</w:t>
            </w:r>
          </w:p>
        </w:tc>
        <w:tc>
          <w:tcPr/>
          <w:p>
            <w:pPr>
              <w:pStyle w:val="Compact"/>
              <w:jc w:val="left"/>
            </w:pPr>
            <w:r>
              <w:rPr>
                <w:b/>
              </w:rPr>
              <w:t xml:space="preserve">Approved by</w:t>
            </w:r>
          </w:p>
        </w:tc>
      </w:tr>
      <w:tr>
        <w:tc>
          <w:tcPr/>
          <w:p>
            <w:pPr>
              <w:pStyle w:val="Compact"/>
              <w:jc w:val="left"/>
            </w:pPr>
            <w:r>
              <w:t xml:space="preserve">[date]</w:t>
            </w:r>
          </w:p>
        </w:tc>
        <w:tc>
          <w:tcPr/>
          <w:p>
            <w:pPr>
              <w:pStyle w:val="Compact"/>
              <w:jc w:val="left"/>
            </w:pPr>
            <w:r>
              <w:t xml:space="preserve">[00]</w:t>
            </w:r>
          </w:p>
        </w:tc>
        <w:tc>
          <w:tcPr/>
          <w:p>
            <w:pPr>
              <w:pStyle w:val="Compact"/>
              <w:jc w:val="left"/>
            </w:pPr>
            <w:r>
              <w:t xml:space="preserve">Sabri Paşayiğit, Founding Partner / General Manager</w:t>
            </w:r>
          </w:p>
        </w:tc>
      </w:tr>
    </w:tbl>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Accident, Near-Miss and Occupational Disease Procedure</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