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Şantiye</w:t>
      </w:r>
      <w:r>
        <w:t xml:space="preserve"> </w:t>
      </w:r>
      <w:r>
        <w:t xml:space="preserve">İş</w:t>
      </w:r>
      <w:r>
        <w:t xml:space="preserve"> </w:t>
      </w:r>
      <w:r>
        <w:t xml:space="preserve">Sağlığı</w:t>
      </w:r>
      <w:r>
        <w:t xml:space="preserve"> </w:t>
      </w:r>
      <w:r>
        <w:t xml:space="preserve">ve</w:t>
      </w:r>
      <w:r>
        <w:t xml:space="preserve"> </w:t>
      </w:r>
      <w:r>
        <w:t xml:space="preserve">Güvenliği</w:t>
      </w:r>
      <w:r>
        <w:t xml:space="preserve"> </w:t>
      </w:r>
      <w:r>
        <w:t xml:space="preserve">Planı</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Proje adı</w:t>
            </w:r>
          </w:p>
        </w:tc>
        <w:tc>
          <w:tcPr/>
          <w:p>
            <w:pPr>
              <w:pStyle w:val="Compact"/>
              <w:jc w:val="left"/>
            </w:pPr>
            <w:r>
              <w:t xml:space="preserve">[Proje adı]</w:t>
            </w:r>
          </w:p>
        </w:tc>
      </w:tr>
      <w:tr>
        <w:tc>
          <w:tcPr/>
          <w:p>
            <w:pPr>
              <w:pStyle w:val="Compact"/>
              <w:jc w:val="left"/>
            </w:pPr>
            <w:r>
              <w:t xml:space="preserve">Şantiye adresi</w:t>
            </w:r>
          </w:p>
        </w:tc>
        <w:tc>
          <w:tcPr/>
          <w:p>
            <w:pPr>
              <w:pStyle w:val="Compact"/>
              <w:jc w:val="left"/>
            </w:pPr>
            <w:r>
              <w:t xml:space="preserve">[Şantiye adresi]</w:t>
            </w:r>
          </w:p>
        </w:tc>
      </w:tr>
      <w:tr>
        <w:tc>
          <w:tcPr/>
          <w:p>
            <w:pPr>
              <w:pStyle w:val="Compact"/>
              <w:jc w:val="left"/>
            </w:pPr>
            <w:r>
              <w:t xml:space="preserve">İşveren / Yüklenici</w:t>
            </w:r>
          </w:p>
        </w:tc>
        <w:tc>
          <w:tcPr/>
          <w:p>
            <w:pPr>
              <w:pStyle w:val="Compact"/>
              <w:jc w:val="left"/>
            </w:pPr>
            <w:r>
              <w:t xml:space="preserve">REM Mimarlık Dekorasyon Restorasyon Proje ve Taahhüt Hizmetleri Ltd. Şti. ("SP Architects")</w:t>
            </w:r>
          </w:p>
        </w:tc>
      </w:tr>
      <w:tr>
        <w:tc>
          <w:tcPr/>
          <w:p>
            <w:pPr>
              <w:pStyle w:val="Compact"/>
              <w:jc w:val="left"/>
            </w:pPr>
            <w:r>
              <w:t xml:space="preserve">İş güvenliği uzmanı</w:t>
            </w:r>
          </w:p>
        </w:tc>
        <w:tc>
          <w:tcPr/>
          <w:p>
            <w:pPr>
              <w:pStyle w:val="Compact"/>
              <w:jc w:val="left"/>
            </w:pPr>
            <w:r>
              <w:t xml:space="preserve">[Ad Soyad, belge sınıfı ve no]</w:t>
            </w:r>
          </w:p>
        </w:tc>
      </w:tr>
      <w:tr>
        <w:tc>
          <w:tcPr/>
          <w:p>
            <w:pPr>
              <w:pStyle w:val="Compact"/>
              <w:jc w:val="left"/>
            </w:pPr>
            <w:r>
              <w:t xml:space="preserve">İşyeri hekimi</w:t>
            </w:r>
          </w:p>
        </w:tc>
        <w:tc>
          <w:tcPr/>
          <w:p>
            <w:pPr>
              <w:pStyle w:val="Compact"/>
              <w:jc w:val="left"/>
            </w:pPr>
            <w:r>
              <w:t xml:space="preserve">[Ad Soyad]</w:t>
            </w:r>
          </w:p>
        </w:tc>
      </w:tr>
      <w:tr>
        <w:tc>
          <w:tcPr/>
          <w:p>
            <w:pPr>
              <w:pStyle w:val="Compact"/>
              <w:jc w:val="left"/>
            </w:pPr>
            <w:r>
              <w:t xml:space="preserve">Çalışan temsilcisi</w:t>
            </w:r>
          </w:p>
        </w:tc>
        <w:tc>
          <w:tcPr/>
          <w:p>
            <w:pPr>
              <w:pStyle w:val="Compact"/>
              <w:jc w:val="left"/>
            </w:pPr>
            <w:r>
              <w:t xml:space="preserve">[Ad Soyad]</w:t>
            </w:r>
          </w:p>
        </w:tc>
      </w:tr>
      <w:tr>
        <w:tc>
          <w:tcPr/>
          <w:p>
            <w:pPr>
              <w:pStyle w:val="Compact"/>
              <w:jc w:val="left"/>
            </w:pPr>
            <w:r>
              <w:t xml:space="preserve">Dok. No / Yay. Tarihi / Rev. No</w:t>
            </w:r>
          </w:p>
        </w:tc>
        <w:tc>
          <w:tcPr/>
          <w:p>
            <w:pPr>
              <w:pStyle w:val="Compact"/>
              <w:jc w:val="left"/>
            </w:pPr>
            <w:r>
              <w:t xml:space="preserve">[Dok. No] / [gg.aa.yyyy] / [Rev. No]</w:t>
            </w:r>
          </w:p>
        </w:tc>
      </w:tr>
    </w:tbl>
    <w:bookmarkStart w:id="20" w:name="amaç-ve-kapsam"/>
    <w:p>
      <w:pPr>
        <w:pStyle w:val="Heading3"/>
      </w:pPr>
      <w:r>
        <w:t xml:space="preserve">1. Amaç ve kapsam</w:t>
      </w:r>
    </w:p>
    <w:p>
      <w:pPr>
        <w:pStyle w:val="FirstParagraph"/>
      </w:pPr>
      <w:r>
        <w:t xml:space="preserve">Bu plan, SP Architects'in yüklenici olarak yönettiği veya alt yükleniciler aracılığıyla yürüttüğü şantiye işlerinde ve şantiye ziyaretlerinde uygulanır. Güvenli ve sağlıklı bir çalışma ortamı, 2022'den bu yana ILO'nun çalışmaya ilişkin temel ilke ve haklarından biridir (ILO 155 ve 187 sayılı Sözleşmeler); bu plan UN Global Compact'in insan hakları ve çalışma standartlarına ilişkin İlke 1–6'sının şantiyedeki karşılığıdır. Plan, Politika 7 — İş Sağlığı, Güvenliği ve Esenlik'in operasyonel uygulamasıdır ve 6331 sayılı İş Sağlığı ve Güvenliği Kanunu ile Yapı İşlerinde İş Sağlığı ve Güvenliği Yönetmeliği'ne dayanır. Yasal asgarinin ötesine geçmeyi hedefleriz.</w:t>
      </w:r>
    </w:p>
    <w:bookmarkEnd w:id="20"/>
    <w:bookmarkStart w:id="21" w:name="sağlık-ve-güvenlik-politikası"/>
    <w:p>
      <w:pPr>
        <w:pStyle w:val="Heading3"/>
      </w:pPr>
      <w:r>
        <w:t xml:space="preserve">2. Sağlık ve güvenlik politikası</w:t>
      </w:r>
    </w:p>
    <w:p>
      <w:pPr>
        <w:numPr>
          <w:ilvl w:val="0"/>
          <w:numId w:val="1001"/>
        </w:numPr>
        <w:pStyle w:val="Compact"/>
      </w:pPr>
      <w:r>
        <w:t xml:space="preserve">Hiçbir iş, süre veya maliyet hedefi çalışanların sağlığı ve güvenliğinden önemli değildir.</w:t>
      </w:r>
    </w:p>
    <w:p>
      <w:pPr>
        <w:numPr>
          <w:ilvl w:val="0"/>
          <w:numId w:val="1001"/>
        </w:numPr>
        <w:pStyle w:val="Compact"/>
      </w:pPr>
      <w:r>
        <w:t xml:space="preserve">Bir iş güvenli yapılamıyorsa yapılmaz. Güvenli bir yöntem planlanana kadar iş bekletilir.</w:t>
      </w:r>
    </w:p>
    <w:p>
      <w:pPr>
        <w:numPr>
          <w:ilvl w:val="0"/>
          <w:numId w:val="1001"/>
        </w:numPr>
        <w:pStyle w:val="Compact"/>
      </w:pPr>
      <w:r>
        <w:t xml:space="preserve">Riskleri önce kaynağında ortadan kaldırırız; sırasıyla ikame, mühendislik önlemleri, idari önlemler ve en son kişisel koruyucu donanım (KKD) kullanırız.</w:t>
      </w:r>
    </w:p>
    <w:p>
      <w:pPr>
        <w:numPr>
          <w:ilvl w:val="0"/>
          <w:numId w:val="1001"/>
        </w:numPr>
        <w:pStyle w:val="Compact"/>
      </w:pPr>
      <w:r>
        <w:t xml:space="preserve">İşverenin sorumluluğu, çalışanların veya alt yüklenicilerin yükümlülükleriyle ortadan kalkmaz. KKD dahil hiçbir İSG maliyeti çalışanlardan istenmez (6331 Md. 4).</w:t>
      </w:r>
    </w:p>
    <w:p>
      <w:pPr>
        <w:numPr>
          <w:ilvl w:val="0"/>
          <w:numId w:val="1001"/>
        </w:numPr>
        <w:pStyle w:val="Compact"/>
      </w:pPr>
      <w:r>
        <w:t xml:space="preserve">Her çalışan, ciddi ve yakın tehlike gördüğünde işi durdurma ve çalışmaktan kaçınma hakkına sahiptir (6331 Md. 13). Bu hakkı kullanan hiç kimse olumsuz bir sonuçla karşılaşmaz.</w:t>
      </w:r>
    </w:p>
    <w:p>
      <w:pPr>
        <w:numPr>
          <w:ilvl w:val="0"/>
          <w:numId w:val="1001"/>
        </w:numPr>
        <w:pStyle w:val="Compact"/>
      </w:pPr>
      <w:r>
        <w:t xml:space="preserve">Tehlike, ramak kala ve kazalar şantiye şefine, İSG uzmanına veya Politika 6 — Bildirim ve Misillemeye Karşı Koruma kapsamındaki kanaldan (gerekirse anonim) bildirilir. Bildirimler suçlu aramak için değil, öğrenmek için kullanılır.</w:t>
      </w:r>
    </w:p>
    <w:p>
      <w:pPr>
        <w:numPr>
          <w:ilvl w:val="0"/>
          <w:numId w:val="1001"/>
        </w:numPr>
        <w:pStyle w:val="Compact"/>
      </w:pPr>
      <w:r>
        <w:t xml:space="preserve">Çalışanlar ve çalışan temsilcisi risk değerlendirmesine, önlemlerin seçimine ve eğitim planlamasına katılır; görüşleri alınır (6331 Md. 18).</w:t>
      </w:r>
    </w:p>
    <w:bookmarkEnd w:id="21"/>
    <w:bookmarkStart w:id="22" w:name="hedefler"/>
    <w:p>
      <w:pPr>
        <w:pStyle w:val="Heading3"/>
      </w:pPr>
      <w:r>
        <w:t xml:space="preserve">3. Hedefler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Hedef</w:t>
            </w:r>
          </w:p>
        </w:tc>
        <w:tc>
          <w:tcPr/>
          <w:p>
            <w:pPr>
              <w:pStyle w:val="Compact"/>
              <w:jc w:val="left"/>
            </w:pPr>
            <w:r>
              <w:rPr>
                <w:b/>
              </w:rPr>
              <w:t xml:space="preserve">Gösterge</w:t>
            </w:r>
          </w:p>
        </w:tc>
        <w:tc>
          <w:tcPr/>
          <w:p>
            <w:pPr>
              <w:pStyle w:val="Compact"/>
              <w:jc w:val="left"/>
            </w:pPr>
            <w:r>
              <w:rPr>
                <w:b/>
              </w:rPr>
              <w:t xml:space="preserve">Hedef değer</w:t>
            </w:r>
          </w:p>
        </w:tc>
      </w:tr>
      <w:tr>
        <w:tc>
          <w:tcPr/>
          <w:p>
            <w:pPr>
              <w:pStyle w:val="Compact"/>
              <w:jc w:val="left"/>
            </w:pPr>
            <w:r>
              <w:t xml:space="preserve">Nitelikli İSG uzmanı ve işyeri hekimi görevlendirmek</w:t>
            </w:r>
          </w:p>
        </w:tc>
        <w:tc>
          <w:tcPr/>
          <w:p>
            <w:pPr>
              <w:pStyle w:val="Compact"/>
              <w:jc w:val="left"/>
            </w:pPr>
            <w:r>
              <w:t xml:space="preserve">Atama ve sözleşme</w:t>
            </w:r>
          </w:p>
        </w:tc>
        <w:tc>
          <w:tcPr/>
          <w:p>
            <w:pPr>
              <w:pStyle w:val="Compact"/>
              <w:jc w:val="left"/>
            </w:pPr>
            <w:r>
              <w:t xml:space="preserve">İş başlamadan önce</w:t>
            </w:r>
          </w:p>
        </w:tc>
      </w:tr>
      <w:tr>
        <w:tc>
          <w:tcPr/>
          <w:p>
            <w:pPr>
              <w:pStyle w:val="Compact"/>
              <w:jc w:val="left"/>
            </w:pPr>
            <w:r>
              <w:t xml:space="preserve">Düzenli şantiye denetimi</w:t>
            </w:r>
          </w:p>
        </w:tc>
        <w:tc>
          <w:tcPr/>
          <w:p>
            <w:pPr>
              <w:pStyle w:val="Compact"/>
              <w:jc w:val="left"/>
            </w:pPr>
            <w:r>
              <w:t xml:space="preserve">Tamamlanan denetim sayısı</w:t>
            </w:r>
          </w:p>
        </w:tc>
        <w:tc>
          <w:tcPr/>
          <w:p>
            <w:pPr>
              <w:pStyle w:val="Compact"/>
              <w:jc w:val="left"/>
            </w:pPr>
            <w:r>
              <w:t xml:space="preserve">[Haftalık / aylık]</w:t>
            </w:r>
          </w:p>
        </w:tc>
      </w:tr>
      <w:tr>
        <w:tc>
          <w:tcPr/>
          <w:p>
            <w:pPr>
              <w:pStyle w:val="Compact"/>
              <w:jc w:val="left"/>
            </w:pPr>
            <w:r>
              <w:t xml:space="preserve">Ramak kala bildirimlerini teşvik etmek</w:t>
            </w:r>
          </w:p>
        </w:tc>
        <w:tc>
          <w:tcPr/>
          <w:p>
            <w:pPr>
              <w:pStyle w:val="Compact"/>
              <w:jc w:val="left"/>
            </w:pPr>
            <w:r>
              <w:t xml:space="preserve">Bildirim sayısı ve kapatılan aksiyon oranı</w:t>
            </w:r>
          </w:p>
        </w:tc>
        <w:tc>
          <w:tcPr/>
          <w:p>
            <w:pPr>
              <w:pStyle w:val="Compact"/>
              <w:jc w:val="left"/>
            </w:pPr>
            <w:r>
              <w:t xml:space="preserve">[%]</w:t>
            </w:r>
          </w:p>
        </w:tc>
      </w:tr>
      <w:tr>
        <w:tc>
          <w:tcPr/>
          <w:p>
            <w:pPr>
              <w:pStyle w:val="Compact"/>
              <w:jc w:val="left"/>
            </w:pPr>
            <w:r>
              <w:t xml:space="preserve">Sürekli İSG eğitimi</w:t>
            </w:r>
          </w:p>
        </w:tc>
        <w:tc>
          <w:tcPr/>
          <w:p>
            <w:pPr>
              <w:pStyle w:val="Compact"/>
              <w:jc w:val="left"/>
            </w:pPr>
            <w:r>
              <w:t xml:space="preserve">Kişi başı eğitim saati</w:t>
            </w:r>
          </w:p>
        </w:tc>
        <w:tc>
          <w:tcPr/>
          <w:p>
            <w:pPr>
              <w:pStyle w:val="Compact"/>
              <w:jc w:val="left"/>
            </w:pPr>
            <w:r>
              <w:t xml:space="preserve">[saat/yıl]</w:t>
            </w:r>
          </w:p>
        </w:tc>
      </w:tr>
      <w:tr>
        <w:tc>
          <w:tcPr/>
          <w:p>
            <w:pPr>
              <w:pStyle w:val="Compact"/>
              <w:jc w:val="left"/>
            </w:pPr>
            <w:r>
              <w:t xml:space="preserve">Ölümlü ve ağır yaralanmalı kaza</w:t>
            </w:r>
          </w:p>
        </w:tc>
        <w:tc>
          <w:tcPr/>
          <w:p>
            <w:pPr>
              <w:pStyle w:val="Compact"/>
              <w:jc w:val="left"/>
            </w:pPr>
            <w:r>
              <w:t xml:space="preserve">Kaza sayısı</w:t>
            </w:r>
          </w:p>
        </w:tc>
        <w:tc>
          <w:tcPr/>
          <w:p>
            <w:pPr>
              <w:pStyle w:val="Compact"/>
              <w:jc w:val="left"/>
            </w:pPr>
            <w:r>
              <w:t xml:space="preserve">Sıfır</w:t>
            </w:r>
          </w:p>
        </w:tc>
      </w:tr>
      <w:tr>
        <w:tc>
          <w:tcPr/>
          <w:p>
            <w:pPr>
              <w:pStyle w:val="Compact"/>
              <w:jc w:val="left"/>
            </w:pPr>
            <w:r>
              <w:t xml:space="preserve">KKD ve güvenlik kurallarına uyum</w:t>
            </w:r>
          </w:p>
        </w:tc>
        <w:tc>
          <w:tcPr/>
          <w:p>
            <w:pPr>
              <w:pStyle w:val="Compact"/>
              <w:jc w:val="left"/>
            </w:pPr>
            <w:r>
              <w:t xml:space="preserve">Saha gözlem uyum oranı</w:t>
            </w:r>
          </w:p>
        </w:tc>
        <w:tc>
          <w:tcPr/>
          <w:p>
            <w:pPr>
              <w:pStyle w:val="Compact"/>
              <w:jc w:val="left"/>
            </w:pPr>
            <w:r>
              <w:t xml:space="preserve">[%]</w:t>
            </w:r>
          </w:p>
        </w:tc>
      </w:tr>
    </w:tbl>
    <w:p>
      <w:pPr>
        <w:pStyle w:val="BodyText"/>
      </w:pPr>
      <w:r>
        <w:t xml:space="preserve">Hedefler her yıl Planla-Uygula-Kontrol Et-Önlem Al (PUKÖ) döngüsüyle gözden geçirilir ve ISO 45001:2018 ilkeleriyle uyumlu tutulur.</w:t>
      </w:r>
    </w:p>
    <w:bookmarkEnd w:id="22"/>
    <w:bookmarkStart w:id="23" w:name="X18fc402dd552ce5548dcf82403a24a120b21373"/>
    <w:p>
      <w:pPr>
        <w:pStyle w:val="Heading3"/>
      </w:pPr>
      <w:r>
        <w:t xml:space="preserve">4. Şantiye denetimleri ve risk değerlendirmesi</w:t>
      </w:r>
    </w:p>
    <w:p>
      <w:pPr>
        <w:pStyle w:val="FirstParagraph"/>
      </w:pPr>
      <w:r>
        <w:t xml:space="preserve">İSG uzmanı, sınırlı alanlar dahil her çalışma alanını gezer, tehlikeleri belirler ve çalışan temsilcisiyle birlikte risk değerlendirmesini hazırlar ve günceller. Plan şunları içerir:</w:t>
      </w:r>
      <w:r>
        <w:t xml:space="preserve"> </w:t>
      </w:r>
      <w:r>
        <w:t xml:space="preserve">- Tehlikeyi kaynağında ortadan kaldırmak veya azaltmak</w:t>
      </w:r>
      <w:r>
        <w:t xml:space="preserve"> </w:t>
      </w:r>
      <w:r>
        <w:t xml:space="preserve">- Mevzuatın öngördüğü toplu koruma önlemleri</w:t>
      </w:r>
      <w:r>
        <w:t xml:space="preserve"> </w:t>
      </w:r>
      <w:r>
        <w:t xml:space="preserve">- Uygun KKD'nin ücretsiz temini ve doğru kullanımının izlenmesi</w:t>
      </w:r>
      <w:r>
        <w:t xml:space="preserve"> </w:t>
      </w:r>
      <w:r>
        <w:t xml:space="preserve">- Güvenli çalışma yöntemleri konusunda eğitim</w:t>
      </w:r>
      <w:r>
        <w:t xml:space="preserve"> </w:t>
      </w:r>
      <w:r>
        <w:t xml:space="preserve">- Aynı alanda çalışan diğer yükleniciler ve alt yüklenicilerle koordinasyon (Politika 8 — Tedarikçi ve Alt Yüklenici Davranış Kuralları)</w:t>
      </w:r>
      <w:r>
        <w:t xml:space="preserve"> </w:t>
      </w:r>
      <w:r>
        <w:t xml:space="preserve">- Tüm denetimlerin, düzeltici faaliyetlerin, kazaların ve ramak kalaların kaydı ile kök neden analizi</w:t>
      </w:r>
    </w:p>
    <w:bookmarkEnd w:id="23"/>
    <w:bookmarkStart w:id="24" w:name="iş-güvenliği-uzmanı-ve-işyeri-hekimi"/>
    <w:p>
      <w:pPr>
        <w:pStyle w:val="Heading3"/>
      </w:pPr>
      <w:r>
        <w:t xml:space="preserve">5. İş güvenliği uzmanı ve işyeri hekimi</w:t>
      </w:r>
    </w:p>
    <w:p>
      <w:pPr>
        <w:pStyle w:val="FirstParagraph"/>
      </w:pPr>
      <w:r>
        <w:t xml:space="preserve">Bu şantiye için iş güvenliği uzmanı olarak [Ad Soyad], işyeri hekimi olarak [Ad Soyad] görevlendirilmiştir. İSG uzmanının sorumlulukları:</w:t>
      </w:r>
      <w:r>
        <w:t xml:space="preserve"> </w:t>
      </w:r>
      <w:r>
        <w:t xml:space="preserve">- Şantiyedeki tehlikeleri ve ilgili mevzuatı bilmek, uyumu izlemek</w:t>
      </w:r>
      <w:r>
        <w:t xml:space="preserve"> </w:t>
      </w:r>
      <w:r>
        <w:t xml:space="preserve">- Risk değerlendirmesini yürütmek ve güncel tutmak</w:t>
      </w:r>
      <w:r>
        <w:t xml:space="preserve"> </w:t>
      </w:r>
      <w:r>
        <w:t xml:space="preserve">- Düzenli denetim yapmak, güvenli çalışma prosedürlerini hazırlamak</w:t>
      </w:r>
      <w:r>
        <w:t xml:space="preserve"> </w:t>
      </w:r>
      <w:r>
        <w:t xml:space="preserve">- Eğitim planlamak ve vermek, katılım ve süreleri kaydetmek</w:t>
      </w:r>
      <w:r>
        <w:t xml:space="preserve"> </w:t>
      </w:r>
      <w:r>
        <w:t xml:space="preserve">- Kaza ve ramak kala olaylarını araştırmak, kök neden analizi yapmak</w:t>
      </w:r>
      <w:r>
        <w:t xml:space="preserve"> </w:t>
      </w:r>
      <w:r>
        <w:t xml:space="preserve">- Kayıtları tutmak ve yönetime düzenli rapor vermek</w:t>
      </w:r>
    </w:p>
    <w:p>
      <w:pPr>
        <w:pStyle w:val="BodyText"/>
      </w:pPr>
      <w:r>
        <w:t xml:space="preserve">İşyeri hekimi sağlık gözetimini yürütür ve sağlık bilgilerini gizli tutar (Politika 10 — Kişisel Verilerin Korunması ve Bilgi Güvenliği).</w:t>
      </w:r>
    </w:p>
    <w:bookmarkEnd w:id="24"/>
    <w:bookmarkStart w:id="25" w:name="kişisel-koruyucu-donanım"/>
    <w:p>
      <w:pPr>
        <w:pStyle w:val="Heading3"/>
      </w:pPr>
      <w:r>
        <w:t xml:space="preserve">6. Kişisel koruyucu donanım</w:t>
      </w:r>
    </w:p>
    <w:p>
      <w:pPr>
        <w:pStyle w:val="FirstParagraph"/>
      </w:pPr>
      <w:r>
        <w:t xml:space="preserve">KKD, toplu önlemlerin yetmediği yerde son savunma hattıdır. Tümü ücretsiz verilir, bakımı yapılır ve gerektiğinde yenilenir. Çalışanlar KKD'deki arıza veya eksikliği hemen bildirir.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KKD</w:t>
            </w:r>
          </w:p>
        </w:tc>
        <w:tc>
          <w:tcPr/>
          <w:p>
            <w:pPr>
              <w:pStyle w:val="Compact"/>
              <w:jc w:val="left"/>
            </w:pPr>
            <w:r>
              <w:rPr>
                <w:b/>
              </w:rPr>
              <w:t xml:space="preserve">Ne zaman</w:t>
            </w:r>
          </w:p>
        </w:tc>
      </w:tr>
      <w:tr>
        <w:tc>
          <w:tcPr/>
          <w:p>
            <w:pPr>
              <w:pStyle w:val="Compact"/>
              <w:jc w:val="left"/>
            </w:pPr>
            <w:r>
              <w:t xml:space="preserve">Baret</w:t>
            </w:r>
          </w:p>
        </w:tc>
        <w:tc>
          <w:tcPr/>
          <w:p>
            <w:pPr>
              <w:pStyle w:val="Compact"/>
              <w:jc w:val="left"/>
            </w:pPr>
            <w:r>
              <w:t xml:space="preserve">Şantiye alanında her zaman; düşen cisim, çarpma, elektrik veya yanma riski olan her yerde</w:t>
            </w:r>
          </w:p>
        </w:tc>
      </w:tr>
      <w:tr>
        <w:tc>
          <w:tcPr/>
          <w:p>
            <w:pPr>
              <w:pStyle w:val="Compact"/>
              <w:jc w:val="left"/>
            </w:pPr>
            <w:r>
              <w:t xml:space="preserve">Koruyucu gözlük / yüz siperi</w:t>
            </w:r>
          </w:p>
        </w:tc>
        <w:tc>
          <w:tcPr/>
          <w:p>
            <w:pPr>
              <w:pStyle w:val="Compact"/>
              <w:jc w:val="left"/>
            </w:pPr>
            <w:r>
              <w:t xml:space="preserve">Uçan parça, kimyasal, kıvılcım, kaynak ışığı veya toz olan işlerde</w:t>
            </w:r>
          </w:p>
        </w:tc>
      </w:tr>
      <w:tr>
        <w:tc>
          <w:tcPr/>
          <w:p>
            <w:pPr>
              <w:pStyle w:val="Compact"/>
              <w:jc w:val="left"/>
            </w:pPr>
            <w:r>
              <w:t xml:space="preserve">Koruyucu ayakkabı</w:t>
            </w:r>
          </w:p>
        </w:tc>
        <w:tc>
          <w:tcPr/>
          <w:p>
            <w:pPr>
              <w:pStyle w:val="Compact"/>
              <w:jc w:val="left"/>
            </w:pPr>
            <w:r>
              <w:t xml:space="preserve">Şantiye alanında her zaman; spor veya bez ayakkabıyla sahaya girilmez</w:t>
            </w:r>
          </w:p>
        </w:tc>
      </w:tr>
      <w:tr>
        <w:tc>
          <w:tcPr/>
          <w:p>
            <w:pPr>
              <w:pStyle w:val="Compact"/>
              <w:jc w:val="left"/>
            </w:pPr>
            <w:r>
              <w:t xml:space="preserve">Eldiven ve koruyucu giysi</w:t>
            </w:r>
          </w:p>
        </w:tc>
        <w:tc>
          <w:tcPr/>
          <w:p>
            <w:pPr>
              <w:pStyle w:val="Compact"/>
              <w:jc w:val="left"/>
            </w:pPr>
            <w:r>
              <w:t xml:space="preserve">Malzeme taşıma, keskin kenar, kimyasal veya sıcak malzeme ile çalışmada</w:t>
            </w:r>
          </w:p>
        </w:tc>
      </w:tr>
      <w:tr>
        <w:tc>
          <w:tcPr/>
          <w:p>
            <w:pPr>
              <w:pStyle w:val="Compact"/>
              <w:jc w:val="left"/>
            </w:pPr>
            <w:r>
              <w:t xml:space="preserve">Tam vücut emniyet kemeri ve lanyard</w:t>
            </w:r>
          </w:p>
        </w:tc>
        <w:tc>
          <w:tcPr/>
          <w:p>
            <w:pPr>
              <w:pStyle w:val="Compact"/>
              <w:jc w:val="left"/>
            </w:pPr>
            <w:r>
              <w:t xml:space="preserve">Toplu korumanın olmadığı yüksekte çalışmalarda</w:t>
            </w:r>
          </w:p>
        </w:tc>
      </w:tr>
      <w:tr>
        <w:tc>
          <w:tcPr/>
          <w:p>
            <w:pPr>
              <w:pStyle w:val="Compact"/>
              <w:jc w:val="left"/>
            </w:pPr>
            <w:r>
              <w:t xml:space="preserve">Kulak koruyucu, solunum koruyucu</w:t>
            </w:r>
          </w:p>
        </w:tc>
        <w:tc>
          <w:tcPr/>
          <w:p>
            <w:pPr>
              <w:pStyle w:val="Compact"/>
              <w:jc w:val="left"/>
            </w:pPr>
            <w:r>
              <w:t xml:space="preserve">Risk değerlendirmesinin gerektirdiği yerlerde</w:t>
            </w:r>
          </w:p>
        </w:tc>
      </w:tr>
    </w:tbl>
    <w:bookmarkEnd w:id="25"/>
    <w:bookmarkStart w:id="31" w:name="güvenlik-kuralları"/>
    <w:p>
      <w:pPr>
        <w:pStyle w:val="Heading3"/>
      </w:pPr>
      <w:r>
        <w:t xml:space="preserve">7. Güvenlik kuralları</w:t>
      </w:r>
    </w:p>
    <w:p>
      <w:pPr>
        <w:pStyle w:val="FirstParagraph"/>
      </w:pPr>
      <w:r>
        <w:t xml:space="preserve">Bu kurallar herkesi korumak için vardır. Bir kuralın uygulanamadığını düşünüyorsanız işi durdurup şantiye şefine veya İSG uzmanına danışın.</w:t>
      </w:r>
    </w:p>
    <w:bookmarkStart w:id="26" w:name="davranış-ve-işe-uygunluk"/>
    <w:p>
      <w:pPr>
        <w:pStyle w:val="Heading4"/>
      </w:pPr>
      <w:r>
        <w:t xml:space="preserve">Davranış ve işe uygunluk</w:t>
      </w:r>
    </w:p>
    <w:p>
      <w:pPr>
        <w:numPr>
          <w:ilvl w:val="0"/>
          <w:numId w:val="1002"/>
        </w:numPr>
        <w:pStyle w:val="Compact"/>
      </w:pPr>
      <w:r>
        <w:t xml:space="preserve">Şantiyede dikkatinizi işe verin; şaka yoluyla da olsa başkalarını tehlikeye atacak davranışlardan kaçının.</w:t>
      </w:r>
    </w:p>
    <w:p>
      <w:pPr>
        <w:numPr>
          <w:ilvl w:val="0"/>
          <w:numId w:val="1002"/>
        </w:numPr>
        <w:pStyle w:val="Compact"/>
      </w:pPr>
      <w:r>
        <w:t xml:space="preserve">Koşmayın, yürürken çevrenize dikkat edin. Başkalarının dikkatini dağıtmayın.</w:t>
      </w:r>
    </w:p>
    <w:p>
      <w:pPr>
        <w:numPr>
          <w:ilvl w:val="0"/>
          <w:numId w:val="1002"/>
        </w:numPr>
        <w:pStyle w:val="Compact"/>
      </w:pPr>
      <w:r>
        <w:t xml:space="preserve">İşe başlamadan kısa bir öz kontrol yapın: Baş dönmesi, hastalık, aşırı yorgunluk veya bugün bu işi güvenle yapmanızı engelleyen başka bir durum var mı? Varsa amirinize söyleyin. "Bu işe bugün uygun değilim" demek hiçbir yaptırıma yol açmaz; size uygun bir görev verilir.</w:t>
      </w:r>
    </w:p>
    <w:p>
      <w:pPr>
        <w:numPr>
          <w:ilvl w:val="0"/>
          <w:numId w:val="1002"/>
        </w:numPr>
        <w:pStyle w:val="Compact"/>
      </w:pPr>
      <w:r>
        <w:t xml:space="preserve">Alkol veya uyuşturucu etkisi altında çalışılmaz. Araç veya makine kullanımını etkileyebilecek bir ilaç kullanıyorsanız bunu işyeri hekimine veya İSG uzmanına söyleyin; bilgi gizli tutulur. Bağımlılık konusunda destek isteyenlere yardım edilir.</w:t>
      </w:r>
    </w:p>
    <w:p>
      <w:pPr>
        <w:numPr>
          <w:ilvl w:val="0"/>
          <w:numId w:val="1002"/>
        </w:numPr>
        <w:pStyle w:val="Compact"/>
      </w:pPr>
      <w:r>
        <w:t xml:space="preserve">Temizlik ve hijyen olanaklarını koruyun; çalışma alanınızı temiz ve düzenli tutun.</w:t>
      </w:r>
    </w:p>
    <w:p>
      <w:pPr>
        <w:numPr>
          <w:ilvl w:val="0"/>
          <w:numId w:val="1002"/>
        </w:numPr>
        <w:pStyle w:val="Compact"/>
      </w:pPr>
      <w:r>
        <w:t xml:space="preserve">Basınçlı havayı giysi, saç veya cilt temizliğinde kullanmayın.</w:t>
      </w:r>
    </w:p>
    <w:bookmarkEnd w:id="26"/>
    <w:bookmarkStart w:id="27" w:name="kaldırma-makineler-ve-elektrik"/>
    <w:p>
      <w:pPr>
        <w:pStyle w:val="Heading4"/>
      </w:pPr>
      <w:r>
        <w:t xml:space="preserve">Kaldırma, makineler ve elektrik</w:t>
      </w:r>
    </w:p>
    <w:p>
      <w:pPr>
        <w:numPr>
          <w:ilvl w:val="0"/>
          <w:numId w:val="1003"/>
        </w:numPr>
        <w:pStyle w:val="Compact"/>
      </w:pPr>
      <w:r>
        <w:t xml:space="preserve">Ağır yüklerde önce mekanik kaldırma ekipmanı kullanın. Elle kaldırırken yükü bacaklarınızla kaldırın, beli bükmeyin; yük ağırsa yardım isteyin.</w:t>
      </w:r>
    </w:p>
    <w:p>
      <w:pPr>
        <w:numPr>
          <w:ilvl w:val="0"/>
          <w:numId w:val="1003"/>
        </w:numPr>
        <w:pStyle w:val="Compact"/>
      </w:pPr>
      <w:r>
        <w:t xml:space="preserve">Uygun oturak yoksa makinelere yalnızca operatör biner.</w:t>
      </w:r>
    </w:p>
    <w:p>
      <w:pPr>
        <w:numPr>
          <w:ilvl w:val="0"/>
          <w:numId w:val="1003"/>
        </w:numPr>
        <w:pStyle w:val="Compact"/>
      </w:pPr>
      <w:r>
        <w:t xml:space="preserve">Elektrikli aletleri ancak eğitim aldıktan ve yetkilendirildikten sonra kullanın.</w:t>
      </w:r>
    </w:p>
    <w:p>
      <w:pPr>
        <w:numPr>
          <w:ilvl w:val="0"/>
          <w:numId w:val="1003"/>
        </w:numPr>
        <w:pStyle w:val="Compact"/>
      </w:pPr>
      <w:r>
        <w:t xml:space="preserve">Makine koruyucularını yerinden çıkarmayın, değiştirmeyin veya devre dışı bırakmayın.</w:t>
      </w:r>
    </w:p>
    <w:p>
      <w:pPr>
        <w:numPr>
          <w:ilvl w:val="0"/>
          <w:numId w:val="1003"/>
        </w:numPr>
        <w:pStyle w:val="Compact"/>
      </w:pPr>
      <w:r>
        <w:t xml:space="preserve">İş ekipmanı çalışırken veya hareket halindeyken yağlama veya yakıt ikmali yapılmaz.</w:t>
      </w:r>
    </w:p>
    <w:p>
      <w:pPr>
        <w:numPr>
          <w:ilvl w:val="0"/>
          <w:numId w:val="1003"/>
        </w:numPr>
        <w:pStyle w:val="Compact"/>
      </w:pPr>
      <w:r>
        <w:t xml:space="preserve">Bakım, onarım veya kalibrasyondan önce ekipmanın enerjisini kesin; kilitleme-etiketleme (LOTO) uygulayın.</w:t>
      </w:r>
    </w:p>
    <w:p>
      <w:pPr>
        <w:numPr>
          <w:ilvl w:val="0"/>
          <w:numId w:val="1003"/>
        </w:numPr>
        <w:pStyle w:val="Compact"/>
      </w:pPr>
      <w:r>
        <w:t xml:space="preserve">Kepçe, kamyon, dozer gibi araçların yakınında çalışıyorsanız operatörün sizi görebildiğinden emin olun. Vinç çalışma alanı bariyerle çevrilir.</w:t>
      </w:r>
    </w:p>
    <w:bookmarkEnd w:id="27"/>
    <w:bookmarkStart w:id="28" w:name="alan-güvenliği"/>
    <w:p>
      <w:pPr>
        <w:pStyle w:val="Heading4"/>
      </w:pPr>
      <w:r>
        <w:t xml:space="preserve">Alan güvenliği</w:t>
      </w:r>
    </w:p>
    <w:p>
      <w:pPr>
        <w:numPr>
          <w:ilvl w:val="0"/>
          <w:numId w:val="1004"/>
        </w:numPr>
        <w:pStyle w:val="Compact"/>
      </w:pPr>
      <w:r>
        <w:t xml:space="preserve">Tehlikeli alanlar bariyerle çevrilir; bariyerli alanlara yetkisiz girilmez.</w:t>
      </w:r>
    </w:p>
    <w:p>
      <w:pPr>
        <w:numPr>
          <w:ilvl w:val="0"/>
          <w:numId w:val="1004"/>
        </w:numPr>
        <w:pStyle w:val="Compact"/>
      </w:pPr>
      <w:r>
        <w:t xml:space="preserve">1,5 m'den derin kazılar iksa ile desteklenir veya uygun şev verilir. Desteklenmemiş kazılara yaklaşmayın. Kazı malzemesi ve diğer malzemeler kazı kenarından en az 60 cm uzakta depolanır.</w:t>
      </w:r>
    </w:p>
    <w:p>
      <w:pPr>
        <w:numPr>
          <w:ilvl w:val="0"/>
          <w:numId w:val="1004"/>
        </w:numPr>
        <w:pStyle w:val="Compact"/>
      </w:pPr>
      <w:r>
        <w:t xml:space="preserve">Yukarıdan aşağıya hiçbir şey atılmaz; malzeme indirmek için kapalı oluk veya kaldırma aracı kullanılır.</w:t>
      </w:r>
    </w:p>
    <w:p>
      <w:pPr>
        <w:numPr>
          <w:ilvl w:val="0"/>
          <w:numId w:val="1004"/>
        </w:numPr>
        <w:pStyle w:val="Compact"/>
      </w:pPr>
      <w:r>
        <w:t xml:space="preserve">Sıcak çalışma izni ve yangın gözcüsü olmadan açık alev veya sıcak çalışma yapılmaz.</w:t>
      </w:r>
    </w:p>
    <w:p>
      <w:pPr>
        <w:numPr>
          <w:ilvl w:val="0"/>
          <w:numId w:val="1004"/>
        </w:numPr>
        <w:pStyle w:val="Compact"/>
      </w:pPr>
      <w:r>
        <w:t xml:space="preserve">Güneşe, sıcağa ve sıcak malzemelere karşı önlem alın; yeterli su, gölge ve mola sağlanır.</w:t>
      </w:r>
    </w:p>
    <w:p>
      <w:pPr>
        <w:numPr>
          <w:ilvl w:val="0"/>
          <w:numId w:val="1004"/>
        </w:numPr>
        <w:pStyle w:val="Compact"/>
      </w:pPr>
      <w:r>
        <w:t xml:space="preserve">Cildiniz asit veya yakıcı bir maddeyle temas ederse hemen bol suyla yıkayın ve tıbbi yardım alın.</w:t>
      </w:r>
    </w:p>
    <w:bookmarkEnd w:id="28"/>
    <w:bookmarkStart w:id="29" w:name="X68e55035b0ed3160f1cb1e8d6fa672f81c7608b"/>
    <w:p>
      <w:pPr>
        <w:pStyle w:val="Heading4"/>
      </w:pPr>
      <w:r>
        <w:t xml:space="preserve">Merdivenler, iskeleler ve yüksekte çalışma</w:t>
      </w:r>
    </w:p>
    <w:p>
      <w:pPr>
        <w:numPr>
          <w:ilvl w:val="0"/>
          <w:numId w:val="1005"/>
        </w:numPr>
        <w:pStyle w:val="Compact"/>
      </w:pPr>
      <w:r>
        <w:t xml:space="preserve">Merdivenlerde 4:1 kuralını uygulayın: her 4 birim yükseklik için merdiven tabanı duvardan 1 birim uzakta olmalıdır (yaklaşık 75°).</w:t>
      </w:r>
    </w:p>
    <w:p>
      <w:pPr>
        <w:numPr>
          <w:ilvl w:val="0"/>
          <w:numId w:val="1005"/>
        </w:numPr>
        <w:pStyle w:val="Compact"/>
      </w:pPr>
      <w:r>
        <w:t xml:space="preserve">Portatif merdivenler kaymaz ayakla kullanılır, yoksa bağlanır veya sabitlenir. Katlanır (A tipi) merdivenler düz merdiven olarak kullanılmaz.</w:t>
      </w:r>
    </w:p>
    <w:p>
      <w:pPr>
        <w:numPr>
          <w:ilvl w:val="0"/>
          <w:numId w:val="1005"/>
        </w:numPr>
        <w:pStyle w:val="Compact"/>
      </w:pPr>
      <w:r>
        <w:t xml:space="preserve">Merdiven, çıkılacak seviyenin en az 1 m üzerine uzanmalıdır.</w:t>
      </w:r>
    </w:p>
    <w:p>
      <w:pPr>
        <w:numPr>
          <w:ilvl w:val="0"/>
          <w:numId w:val="1005"/>
        </w:numPr>
        <w:pStyle w:val="Compact"/>
      </w:pPr>
      <w:r>
        <w:t xml:space="preserve">Hasarlı veya kusurlu merdivenler etiketlenir ve hemen kullanımdan kaldırılır.</w:t>
      </w:r>
    </w:p>
    <w:p>
      <w:pPr>
        <w:numPr>
          <w:ilvl w:val="0"/>
          <w:numId w:val="1005"/>
        </w:numPr>
        <w:pStyle w:val="Compact"/>
      </w:pPr>
      <w:r>
        <w:t xml:space="preserve">Merdiven çevresinde hortum, tel, kablo gibi takılma tehlikesi bırakılmaz.</w:t>
      </w:r>
    </w:p>
    <w:p>
      <w:pPr>
        <w:numPr>
          <w:ilvl w:val="0"/>
          <w:numId w:val="1005"/>
        </w:numPr>
        <w:pStyle w:val="Compact"/>
      </w:pPr>
      <w:r>
        <w:t xml:space="preserve">İskeleler üretici talimatlarına ve mevzuata uygun kurulur, yetkili kişi tarafından kontrol edilmeden kullanılmaz. İskele tahtaları kaymaya karşı sabitlenir.</w:t>
      </w:r>
    </w:p>
    <w:p>
      <w:pPr>
        <w:numPr>
          <w:ilvl w:val="0"/>
          <w:numId w:val="1005"/>
        </w:numPr>
        <w:pStyle w:val="Compact"/>
      </w:pPr>
      <w:r>
        <w:t xml:space="preserve">Toplu korumanın olmadığı yüksek yerlerde tam vücut emniyet kemeri giyilir ve lanyard onaylı bir ankraj noktasına veya yaşam hattına bağlanır.</w:t>
      </w:r>
    </w:p>
    <w:bookmarkEnd w:id="29"/>
    <w:bookmarkStart w:id="30" w:name="acil-durum-ve-sınırlı-alanlar"/>
    <w:p>
      <w:pPr>
        <w:pStyle w:val="Heading4"/>
      </w:pPr>
      <w:r>
        <w:t xml:space="preserve">Acil durum ve sınırlı alanlar</w:t>
      </w:r>
    </w:p>
    <w:p>
      <w:pPr>
        <w:numPr>
          <w:ilvl w:val="0"/>
          <w:numId w:val="1006"/>
        </w:numPr>
        <w:pStyle w:val="Compact"/>
      </w:pPr>
      <w:r>
        <w:t xml:space="preserve">Yangın söndürücülerin, ilk yardım setinin, sedyenin, acil telefonun yerini ve kaçış yollarını öğrenin.</w:t>
      </w:r>
    </w:p>
    <w:p>
      <w:pPr>
        <w:numPr>
          <w:ilvl w:val="0"/>
          <w:numId w:val="1006"/>
        </w:numPr>
        <w:pStyle w:val="Compact"/>
      </w:pPr>
      <w:r>
        <w:t xml:space="preserve">Yaralı birini, hayati bir tehlike yoksa hareket ettirmeyin; 112'yi arayın ve ilk yardımcıyı çağırın.</w:t>
      </w:r>
    </w:p>
    <w:p>
      <w:pPr>
        <w:numPr>
          <w:ilvl w:val="0"/>
          <w:numId w:val="1006"/>
        </w:numPr>
        <w:pStyle w:val="Compact"/>
      </w:pPr>
      <w:r>
        <w:t xml:space="preserve">Rögar, şaft, kuyu, tünel gibi sınırlı alanlara yalnızca Bölüm 10'daki izinle girilir.</w:t>
      </w:r>
    </w:p>
    <w:bookmarkEnd w:id="30"/>
    <w:bookmarkEnd w:id="31"/>
    <w:bookmarkStart w:id="32" w:name="isg-eğitimi"/>
    <w:p>
      <w:pPr>
        <w:pStyle w:val="Heading3"/>
      </w:pPr>
      <w:r>
        <w:t xml:space="preserve">8. İSG eğitimi</w:t>
      </w:r>
    </w:p>
    <w:p>
      <w:pPr>
        <w:numPr>
          <w:ilvl w:val="0"/>
          <w:numId w:val="1007"/>
        </w:numPr>
        <w:pStyle w:val="Compact"/>
      </w:pPr>
      <w:r>
        <w:t xml:space="preserve">İSG uzmanı, şantiye denetimi ve risk değerlendirmesi sonrası her tehlikeyi olasılık ve şiddet açısından değerlendirir.</w:t>
      </w:r>
    </w:p>
    <w:p>
      <w:pPr>
        <w:numPr>
          <w:ilvl w:val="0"/>
          <w:numId w:val="1007"/>
        </w:numPr>
        <w:pStyle w:val="Compact"/>
      </w:pPr>
      <w:r>
        <w:t xml:space="preserve">Çalışanların bilgi, beceri ve deneyim düzeyi, gerekiyorsa dil ve okuryazarlık ihtiyaçları değerlendirilir.</w:t>
      </w:r>
    </w:p>
    <w:p>
      <w:pPr>
        <w:numPr>
          <w:ilvl w:val="0"/>
          <w:numId w:val="1007"/>
        </w:numPr>
        <w:pStyle w:val="Compact"/>
      </w:pPr>
      <w:r>
        <w:t xml:space="preserve">Eğitim, tehlikeler ve alınacak önlemler esas alınarak planlanır; risk ne kadar yüksekse eğitim o kadar ayrıntılı olur. Eğitim çalışma saatleri içinde ve ücretsiz verilir.</w:t>
      </w:r>
    </w:p>
    <w:p>
      <w:pPr>
        <w:numPr>
          <w:ilvl w:val="0"/>
          <w:numId w:val="1007"/>
        </w:numPr>
        <w:pStyle w:val="Compact"/>
      </w:pPr>
      <w:r>
        <w:t xml:space="preserve">Her yeni çalışan işe başlamadan önce işe giriş eğitimi alır; iş, ekipman veya yöntem değiştiğinde ve kaza veya ramak kala sonrasında eğitim tekrarlanır.</w:t>
      </w:r>
    </w:p>
    <w:p>
      <w:pPr>
        <w:numPr>
          <w:ilvl w:val="0"/>
          <w:numId w:val="1007"/>
        </w:numPr>
        <w:pStyle w:val="Compact"/>
      </w:pPr>
      <w:r>
        <w:t xml:space="preserve">Her eğitim için konu, eğitmen, katılımcı listesi, cinsiyet dağılımı ve eğitim saati kaydedilir (6331 ve Çalışanların İSG Eğitimlerinin Usul ve Esasları Hakkında Yönetmelik). Asgari süre ve tekrar sıklığı: [İSG uzmanı tarafından yazılacak].</w:t>
      </w:r>
    </w:p>
    <w:bookmarkEnd w:id="32"/>
    <w:bookmarkStart w:id="33" w:name="adil-kültür-ve-disiplin"/>
    <w:p>
      <w:pPr>
        <w:pStyle w:val="Heading3"/>
      </w:pPr>
      <w:r>
        <w:t xml:space="preserve">9. Adil kültür ve disiplin</w:t>
      </w:r>
    </w:p>
    <w:p>
      <w:pPr>
        <w:pStyle w:val="FirstParagraph"/>
      </w:pPr>
      <w:r>
        <w:t xml:space="preserve">Amacımız cezalandırmak değil, tekrarını önlemektir. Her olay önce kök neden açısından incelenir: talimat açık mıydı, ekipman uygun muydu, iş planı ve süre baskısı makul müydü?</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Durum</w:t>
            </w:r>
          </w:p>
        </w:tc>
        <w:tc>
          <w:tcPr/>
          <w:p>
            <w:pPr>
              <w:pStyle w:val="Compact"/>
              <w:jc w:val="left"/>
            </w:pPr>
            <w:r>
              <w:rPr>
                <w:b/>
              </w:rPr>
              <w:t xml:space="preserve">Yaklaşım</w:t>
            </w:r>
          </w:p>
        </w:tc>
      </w:tr>
      <w:tr>
        <w:tc>
          <w:tcPr/>
          <w:p>
            <w:pPr>
              <w:pStyle w:val="Compact"/>
              <w:jc w:val="left"/>
            </w:pPr>
            <w:r>
              <w:t xml:space="preserve">Dürüst hata</w:t>
            </w:r>
          </w:p>
        </w:tc>
        <w:tc>
          <w:tcPr/>
          <w:p>
            <w:pPr>
              <w:pStyle w:val="Compact"/>
              <w:jc w:val="left"/>
            </w:pPr>
            <w:r>
              <w:t xml:space="preserve">Yaptırım yok; sistem, talimat veya ekipman düzeltilir; olay paylaşılarak öğrenilir</w:t>
            </w:r>
          </w:p>
        </w:tc>
      </w:tr>
      <w:tr>
        <w:tc>
          <w:tcPr/>
          <w:p>
            <w:pPr>
              <w:pStyle w:val="Compact"/>
              <w:jc w:val="left"/>
            </w:pPr>
            <w:r>
              <w:t xml:space="preserve">Riskli davranış (kuralın önemini görmeme, alışkanlık)</w:t>
            </w:r>
          </w:p>
        </w:tc>
        <w:tc>
          <w:tcPr/>
          <w:p>
            <w:pPr>
              <w:pStyle w:val="Compact"/>
              <w:jc w:val="left"/>
            </w:pPr>
            <w:r>
              <w:t xml:space="preserve">Birebir görüşme, yeniden eğitim, yakın takip; kayıt eğitim amaçlıdır</w:t>
            </w:r>
          </w:p>
        </w:tc>
      </w:tr>
      <w:tr>
        <w:tc>
          <w:tcPr/>
          <w:p>
            <w:pPr>
              <w:pStyle w:val="Compact"/>
              <w:jc w:val="left"/>
            </w:pPr>
            <w:r>
              <w:t xml:space="preserve">Tekrarlanan riskli davranış</w:t>
            </w:r>
          </w:p>
        </w:tc>
        <w:tc>
          <w:tcPr/>
          <w:p>
            <w:pPr>
              <w:pStyle w:val="Compact"/>
              <w:jc w:val="left"/>
            </w:pPr>
            <w:r>
              <w:t xml:space="preserve">Yazılı uyarı; nedenlerin birlikte ele alındığı eylem planı</w:t>
            </w:r>
          </w:p>
        </w:tc>
      </w:tr>
      <w:tr>
        <w:tc>
          <w:tcPr/>
          <w:p>
            <w:pPr>
              <w:pStyle w:val="Compact"/>
              <w:jc w:val="left"/>
            </w:pPr>
            <w:r>
              <w:t xml:space="preserve">Kasıtlı ihlal veya ağır ihmal (ör. kendini veya başkalarını açıkça tehlikeye atmak, koruyucuları kasten devre dışı bırakmak)</w:t>
            </w:r>
          </w:p>
        </w:tc>
        <w:tc>
          <w:tcPr/>
          <w:p>
            <w:pPr>
              <w:pStyle w:val="Compact"/>
              <w:jc w:val="left"/>
            </w:pPr>
            <w:r>
              <w:t xml:space="preserve">İş Kanunu, iş sözleşmesi ve şirket disiplin prosedürüne göre orantılı yaptırım</w:t>
            </w:r>
          </w:p>
        </w:tc>
      </w:tr>
    </w:tbl>
    <w:p>
      <w:pPr>
        <w:numPr>
          <w:ilvl w:val="0"/>
          <w:numId w:val="1008"/>
        </w:numPr>
        <w:pStyle w:val="Compact"/>
      </w:pPr>
      <w:r>
        <w:t xml:space="preserve">Her disiplin sürecinde çalışanın yazılı veya sözlü savunması alınır; kararlar tutarlı ve belgeli olur.</w:t>
      </w:r>
    </w:p>
    <w:p>
      <w:pPr>
        <w:numPr>
          <w:ilvl w:val="0"/>
          <w:numId w:val="1008"/>
        </w:numPr>
        <w:pStyle w:val="Compact"/>
      </w:pPr>
      <w:r>
        <w:t xml:space="preserve">Tehlike, kaza veya ramak kala bildirmek, işi durdurmak veya "uygun değilim" demek hiçbir koşulda yaptırım nedeni olamaz.</w:t>
      </w:r>
    </w:p>
    <w:p>
      <w:pPr>
        <w:numPr>
          <w:ilvl w:val="0"/>
          <w:numId w:val="1008"/>
        </w:numPr>
        <w:pStyle w:val="Compact"/>
      </w:pPr>
      <w:r>
        <w:t xml:space="preserve">Yaptırım, işverenin önleme yükümlülüğünün yerine geçmez; aynı olayda yönetim kaynaklı eksiklikler de düzeltilir.</w:t>
      </w:r>
    </w:p>
    <w:bookmarkEnd w:id="33"/>
    <w:bookmarkStart w:id="34" w:name="sınırlı-alanlara-giriş"/>
    <w:p>
      <w:pPr>
        <w:pStyle w:val="Heading3"/>
      </w:pPr>
      <w:r>
        <w:t xml:space="preserve">10. Sınırlı alanlara giriş</w:t>
      </w:r>
    </w:p>
    <w:p>
      <w:pPr>
        <w:pStyle w:val="FirstParagraph"/>
      </w:pPr>
      <w:r>
        <w:t xml:space="preserve">Sınırlı alan; sürekli çalışma için tasarlanmamış, giriş ve çıkışı kısıtlı ve aşağıdaki tehlikelerden birini içerebilecek alandır:</w:t>
      </w:r>
      <w:r>
        <w:t xml:space="preserve"> </w:t>
      </w:r>
      <w:r>
        <w:t xml:space="preserve">- Patlayıcı veya yanıcı gaz, yanıcı toz</w:t>
      </w:r>
      <w:r>
        <w:t xml:space="preserve"> </w:t>
      </w:r>
      <w:r>
        <w:t xml:space="preserve">- Oksijen oranının %19,5'in altında veya %23,5'in üstünde olması</w:t>
      </w:r>
      <w:r>
        <w:t xml:space="preserve"> </w:t>
      </w:r>
      <w:r>
        <w:t xml:space="preserve">- Zehirli gaz, buhar veya madde</w:t>
      </w:r>
      <w:r>
        <w:t xml:space="preserve"> </w:t>
      </w:r>
      <w:r>
        <w:t xml:space="preserve">- Katı veya sıvı malzeme altında kalma (boğulma) tehlikesi</w:t>
      </w:r>
      <w:r>
        <w:t xml:space="preserve"> </w:t>
      </w:r>
      <w:r>
        <w:t xml:space="preserve">- Daralan kesit veya eğimli zemin nedeniyle sıkışma</w:t>
      </w:r>
    </w:p>
    <w:p>
      <w:pPr>
        <w:pStyle w:val="BodyText"/>
      </w:pPr>
      <w:r>
        <w:t xml:space="preserve">Giriş prosedürü:</w:t>
      </w:r>
      <w:r>
        <w:t xml:space="preserve"> </w:t>
      </w:r>
      <w:r>
        <w:t xml:space="preserve">1. Yazılı giriş izni olmadan kimse sınırlı alana girmez.</w:t>
      </w:r>
      <w:r>
        <w:t xml:space="preserve"> </w:t>
      </w:r>
      <w:r>
        <w:t xml:space="preserve">2. Yetkili kişi alanı inceler; giriş öncesinde ve çalışma boyunca kalibre edilmiş dedektörle gaz ölçümü yapar ve sonuçları izin formuna yazar.</w:t>
      </w:r>
      <w:r>
        <w:t xml:space="preserve"> </w:t>
      </w:r>
      <w:r>
        <w:t xml:space="preserve">3. Gerekirse alan havalandırılır, enerji ve hatlar kilitlenip etiketlenir.</w:t>
      </w:r>
      <w:r>
        <w:t xml:space="preserve"> </w:t>
      </w:r>
      <w:r>
        <w:t xml:space="preserve">4. Uygun KKD ve gerekiyorsa solunum cihazı kullanılır.</w:t>
      </w:r>
      <w:r>
        <w:t xml:space="preserve"> </w:t>
      </w:r>
      <w:r>
        <w:t xml:space="preserve">5. Girişte, içeridekiyle sürekli iletişimde olan eğitimli bir gözcü bulunur; gözcü kurtarma için içeri girmez.</w:t>
      </w:r>
      <w:r>
        <w:t xml:space="preserve"> </w:t>
      </w:r>
      <w:r>
        <w:t xml:space="preserve">6. İş başlamadan kurtarma planı ve ekipmanı hazır olur; ekip bunu bilir.</w:t>
      </w:r>
      <w:r>
        <w:t xml:space="preserve"> </w:t>
      </w:r>
      <w:r>
        <w:t xml:space="preserve">7. Hiçbir çalışan, sınırlı alanda veya rutin olmayan bir işte tehlikeler ve önlemler hakkında brifing almadan işe başlamaz.</w:t>
      </w:r>
    </w:p>
    <w:bookmarkEnd w:id="34"/>
    <w:bookmarkStart w:id="35" w:name="acil-durum-prosedürü"/>
    <w:p>
      <w:pPr>
        <w:pStyle w:val="Heading3"/>
      </w:pPr>
      <w:r>
        <w:t xml:space="preserve">11. Acil durum prosedürü</w:t>
      </w:r>
    </w:p>
    <w:p>
      <w:pPr>
        <w:numPr>
          <w:ilvl w:val="0"/>
          <w:numId w:val="1009"/>
        </w:numPr>
        <w:pStyle w:val="Compact"/>
      </w:pPr>
      <w:r>
        <w:t xml:space="preserve">İletişim yöntemi (telefon, telsiz) belirlenir ve test edilir.</w:t>
      </w:r>
    </w:p>
    <w:p>
      <w:pPr>
        <w:numPr>
          <w:ilvl w:val="0"/>
          <w:numId w:val="1009"/>
        </w:numPr>
        <w:pStyle w:val="Compact"/>
      </w:pPr>
      <w:r>
        <w:t xml:space="preserve">Acil numaralar görünür yerlere asılır: 112 Acil Çağrı, [en yakın hastane], [şantiye şefi], [İSG uzmanı].</w:t>
      </w:r>
    </w:p>
    <w:p>
      <w:pPr>
        <w:numPr>
          <w:ilvl w:val="0"/>
          <w:numId w:val="1009"/>
        </w:numPr>
        <w:pStyle w:val="Compact"/>
      </w:pPr>
      <w:r>
        <w:t xml:space="preserve">Şantiye adresi ve yol tarifi acil numaraların yanına yazılır.</w:t>
      </w:r>
    </w:p>
    <w:p>
      <w:pPr>
        <w:numPr>
          <w:ilvl w:val="0"/>
          <w:numId w:val="1009"/>
        </w:numPr>
        <w:pStyle w:val="Compact"/>
      </w:pPr>
      <w:r>
        <w:t xml:space="preserve">İlk yardımcılar ve yangın ekibi atanır, isimleri duyurulur.</w:t>
      </w:r>
    </w:p>
    <w:p>
      <w:pPr>
        <w:numPr>
          <w:ilvl w:val="0"/>
          <w:numId w:val="1009"/>
        </w:numPr>
        <w:pStyle w:val="Compact"/>
      </w:pPr>
      <w:r>
        <w:t xml:space="preserve">Toplanma alanı belirlenir; tahliye tatbikatı [sıklık] yapılır ve kaydedilir.</w:t>
      </w:r>
    </w:p>
    <w:p>
      <w:pPr>
        <w:numPr>
          <w:ilvl w:val="0"/>
          <w:numId w:val="1009"/>
        </w:numPr>
        <w:pStyle w:val="Compact"/>
      </w:pPr>
      <w:r>
        <w:t xml:space="preserve">Çalışanlar bölgeye özgü biyolojik tehlikeler (zehirli bitkiler, sürüngenler, böcekler) hakkında bilgilendirilir: tehlikeler, korunma yolları ve ilk yardım.</w:t>
      </w:r>
    </w:p>
    <w:p>
      <w:pPr>
        <w:numPr>
          <w:ilvl w:val="0"/>
          <w:numId w:val="1009"/>
        </w:numPr>
        <w:pStyle w:val="Compact"/>
      </w:pPr>
      <w:r>
        <w:t xml:space="preserve">İş kazaları 3 iş günü içinde SGK'ya bildirilir (6331 Md. 14); her kaza ve ramak kala kök neden analiziyle incelenir.</w:t>
      </w:r>
    </w:p>
    <w:bookmarkEnd w:id="35"/>
    <w:bookmarkStart w:id="40" w:name="tehlike-iletişim-programı"/>
    <w:p>
      <w:pPr>
        <w:pStyle w:val="Heading3"/>
      </w:pPr>
      <w:r>
        <w:t xml:space="preserve">12. Tehlike iletişim programı</w:t>
      </w:r>
    </w:p>
    <w:p>
      <w:pPr>
        <w:pStyle w:val="FirstParagraph"/>
      </w:pPr>
      <w:r>
        <w:t xml:space="preserve">Bu program tüm çalışanların incelemesine açıktır.</w:t>
      </w:r>
    </w:p>
    <w:bookmarkStart w:id="36" w:name="tehlike-tespiti-ve-etiketleme"/>
    <w:p>
      <w:pPr>
        <w:pStyle w:val="Heading4"/>
      </w:pPr>
      <w:r>
        <w:t xml:space="preserve">Tehlike tespiti ve etiketleme</w:t>
      </w:r>
    </w:p>
    <w:p>
      <w:pPr>
        <w:numPr>
          <w:ilvl w:val="0"/>
          <w:numId w:val="1010"/>
        </w:numPr>
        <w:pStyle w:val="Compact"/>
      </w:pPr>
      <w:r>
        <w:t xml:space="preserve">Kimyasal tehlikeler, tedarikçinin verdiği Güvenlik Bilgi Formlarına (GBF) göre belirlenir.</w:t>
      </w:r>
    </w:p>
    <w:p>
      <w:pPr>
        <w:numPr>
          <w:ilvl w:val="0"/>
          <w:numId w:val="1010"/>
        </w:numPr>
        <w:pStyle w:val="Compact"/>
      </w:pPr>
      <w:r>
        <w:t xml:space="preserve">Şantiyeye gelen tüm kaplar etiketli olmalıdır; etiketler ürün adı, tehlike bilgisi ve sorumlu firma adı ve adresi yönünden kontrol edilir.</w:t>
      </w:r>
    </w:p>
    <w:p>
      <w:pPr>
        <w:numPr>
          <w:ilvl w:val="0"/>
          <w:numId w:val="1010"/>
        </w:numPr>
        <w:pStyle w:val="Compact"/>
      </w:pPr>
      <w:r>
        <w:t xml:space="preserve">Etiketi olmayan veya okunmayan kap kullanılmaz; ilgili sorumluya bildirilir.</w:t>
      </w:r>
    </w:p>
    <w:bookmarkEnd w:id="36"/>
    <w:bookmarkStart w:id="37" w:name="güvenlik-bilgi-formları"/>
    <w:p>
      <w:pPr>
        <w:pStyle w:val="Heading4"/>
      </w:pPr>
      <w:r>
        <w:t xml:space="preserve">Güvenlik Bilgi Formları</w:t>
      </w:r>
    </w:p>
    <w:p>
      <w:pPr>
        <w:numPr>
          <w:ilvl w:val="0"/>
          <w:numId w:val="1011"/>
        </w:numPr>
        <w:pStyle w:val="Compact"/>
      </w:pPr>
      <w:r>
        <w:t xml:space="preserve">Şantiyedeki tüm kimyasalların GBF listesi ve kopyaları bir dosyada tutulur.</w:t>
      </w:r>
    </w:p>
    <w:p>
      <w:pPr>
        <w:numPr>
          <w:ilvl w:val="0"/>
          <w:numId w:val="1011"/>
        </w:numPr>
        <w:pStyle w:val="Compact"/>
      </w:pPr>
      <w:r>
        <w:t xml:space="preserve">GBF'ler her vardiyada çalışanların erişimine açıktır; isteyene kopya verilir.</w:t>
      </w:r>
    </w:p>
    <w:p>
      <w:pPr>
        <w:numPr>
          <w:ilvl w:val="0"/>
          <w:numId w:val="1011"/>
        </w:numPr>
        <w:pStyle w:val="Compact"/>
      </w:pPr>
      <w:r>
        <w:t xml:space="preserve">Yeni bir kimyasal veya güncellenmiş GBF geldiğinde çalışanlara duyurulur.</w:t>
      </w:r>
    </w:p>
    <w:bookmarkEnd w:id="37"/>
    <w:bookmarkStart w:id="38" w:name="çalışanların-bilgilendirilmesi"/>
    <w:p>
      <w:pPr>
        <w:pStyle w:val="Heading4"/>
      </w:pPr>
      <w:r>
        <w:t xml:space="preserve">Çalışanların bilgilendirilmesi</w:t>
      </w:r>
    </w:p>
    <w:p>
      <w:pPr>
        <w:pStyle w:val="FirstParagraph"/>
      </w:pPr>
      <w:r>
        <w:t xml:space="preserve">Her yeni çalışan işe başlamadan önce şu konularda eğitilir:</w:t>
      </w:r>
      <w:r>
        <w:t xml:space="preserve"> </w:t>
      </w:r>
      <w:r>
        <w:t xml:space="preserve">1. Şantiyedeki kimyasallar ve tehlikeleri</w:t>
      </w:r>
      <w:r>
        <w:t xml:space="preserve"> </w:t>
      </w:r>
      <w:r>
        <w:t xml:space="preserve">2. Maruziyetten korunma ve maruziyeti en aza indirme</w:t>
      </w:r>
      <w:r>
        <w:t xml:space="preserve"> </w:t>
      </w:r>
      <w:r>
        <w:t xml:space="preserve">3. Şirketin aldığı önlemler</w:t>
      </w:r>
      <w:r>
        <w:t xml:space="preserve"> </w:t>
      </w:r>
      <w:r>
        <w:t xml:space="preserve">4. Maruziyet halinde yapılacaklar</w:t>
      </w:r>
      <w:r>
        <w:t xml:space="preserve"> </w:t>
      </w:r>
      <w:r>
        <w:t xml:space="preserve">5. GBF'nin nasıl okunup yorumlanacağı</w:t>
      </w:r>
      <w:r>
        <w:t xml:space="preserve"> </w:t>
      </w:r>
      <w:r>
        <w:t xml:space="preserve">6. GBF'lerin nerede olduğu ve kimden alınabileceği</w:t>
      </w:r>
    </w:p>
    <w:p>
      <w:pPr>
        <w:pStyle w:val="BodyText"/>
      </w:pPr>
      <w:r>
        <w:t xml:space="preserve">Çalışanların kimyasallar hakkında bilgi alma hakkı vardır; bu bilgiye erişim engellenemez. Çalışanlar sağlıkla ilgili sorularını işyeri hekimine de iletebilir. Eğitim yoklamaları saklanır.</w:t>
      </w:r>
    </w:p>
    <w:bookmarkEnd w:id="38"/>
    <w:bookmarkStart w:id="39" w:name="diğer-yükleniciler"/>
    <w:p>
      <w:pPr>
        <w:pStyle w:val="Heading4"/>
      </w:pPr>
      <w:r>
        <w:t xml:space="preserve">Diğer yükleniciler</w:t>
      </w:r>
    </w:p>
    <w:p>
      <w:pPr>
        <w:numPr>
          <w:ilvl w:val="0"/>
          <w:numId w:val="1012"/>
        </w:numPr>
        <w:pStyle w:val="Compact"/>
      </w:pPr>
      <w:r>
        <w:t xml:space="preserve">Aynı alandaki yükleniciler, kullandığımız kimyasallar, alınacak önlemler ve GBF'lerin yeri konusunda bilgilendirilir.</w:t>
      </w:r>
    </w:p>
    <w:p>
      <w:pPr>
        <w:numPr>
          <w:ilvl w:val="0"/>
          <w:numId w:val="1012"/>
        </w:numPr>
        <w:pStyle w:val="Compact"/>
      </w:pPr>
      <w:r>
        <w:t xml:space="preserve">Yükleniciler de getirdikleri kimyasallar hakkında bizi ve çalışanlarımızı önceden bilgilendirir. Bu yükümlülük alt yüklenici sözleşmelerine eklenir (Politika 8).</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Görev</w:t>
            </w:r>
          </w:p>
        </w:tc>
        <w:tc>
          <w:tcPr/>
          <w:p>
            <w:pPr>
              <w:pStyle w:val="Compact"/>
              <w:jc w:val="left"/>
            </w:pPr>
            <w:r>
              <w:rPr>
                <w:b/>
              </w:rPr>
              <w:t xml:space="preserve">Ad Soyad</w:t>
            </w:r>
          </w:p>
        </w:tc>
        <w:tc>
          <w:tcPr/>
          <w:p>
            <w:pPr>
              <w:pStyle w:val="Compact"/>
              <w:jc w:val="left"/>
            </w:pPr>
            <w:r>
              <w:rPr>
                <w:b/>
              </w:rPr>
              <w:t xml:space="preserve">İmza</w:t>
            </w:r>
          </w:p>
        </w:tc>
        <w:tc>
          <w:tcPr/>
          <w:p>
            <w:pPr>
              <w:pStyle w:val="Compact"/>
              <w:jc w:val="left"/>
            </w:pPr>
            <w:r>
              <w:rPr>
                <w:b/>
              </w:rPr>
              <w:t xml:space="preserve">Tarih</w:t>
            </w:r>
          </w:p>
        </w:tc>
      </w:tr>
      <w:tr>
        <w:tc>
          <w:tcPr/>
          <w:p>
            <w:pPr>
              <w:pStyle w:val="Compact"/>
              <w:jc w:val="left"/>
            </w:pPr>
            <w:r>
              <w:t xml:space="preserve">Hazırlayan — İş Güvenliği Uzmanı</w:t>
            </w:r>
          </w:p>
        </w:tc>
        <w:tc>
          <w:tcPr/>
          <w:p>
            <w:pPr>
              <w:pStyle w:val="Compact"/>
              <w:jc w:val="left"/>
            </w:pPr>
            <w:r>
              <w:t xml:space="preserve">[Ad Soyad]</w:t>
            </w:r>
          </w:p>
        </w:tc>
        <w:tc>
          <w:tcPr/>
          <w:p>
            <w:pPr>
              <w:pStyle w:val="Compact"/>
            </w:pPr>
          </w:p>
        </w:tc>
        <w:tc>
          <w:tcPr/>
          <w:p>
            <w:pPr>
              <w:pStyle w:val="Compact"/>
              <w:jc w:val="left"/>
            </w:pPr>
            <w:r>
              <w:t xml:space="preserve">[gg.aa.yyyy]</w:t>
            </w:r>
          </w:p>
        </w:tc>
      </w:tr>
      <w:tr>
        <w:tc>
          <w:tcPr/>
          <w:p>
            <w:pPr>
              <w:pStyle w:val="Compact"/>
              <w:jc w:val="left"/>
            </w:pPr>
            <w:r>
              <w:t xml:space="preserve">Görüş — Çalışan Temsilcisi</w:t>
            </w:r>
          </w:p>
        </w:tc>
        <w:tc>
          <w:tcPr/>
          <w:p>
            <w:pPr>
              <w:pStyle w:val="Compact"/>
              <w:jc w:val="left"/>
            </w:pPr>
            <w:r>
              <w:t xml:space="preserve">[Ad Soyad]</w:t>
            </w:r>
          </w:p>
        </w:tc>
        <w:tc>
          <w:tcPr/>
          <w:p>
            <w:pPr>
              <w:pStyle w:val="Compact"/>
            </w:pPr>
          </w:p>
        </w:tc>
        <w:tc>
          <w:tcPr/>
          <w:p>
            <w:pPr>
              <w:pStyle w:val="Compact"/>
              <w:jc w:val="left"/>
            </w:pPr>
            <w:r>
              <w:t xml:space="preserve">[gg.aa.yyyy]</w:t>
            </w:r>
          </w:p>
        </w:tc>
      </w:tr>
      <w:tr>
        <w:tc>
          <w:tcPr/>
          <w:p>
            <w:pPr>
              <w:pStyle w:val="Compact"/>
              <w:jc w:val="left"/>
            </w:pPr>
            <w:r>
              <w:t xml:space="preserve">Şantiye Şefi</w:t>
            </w:r>
          </w:p>
        </w:tc>
        <w:tc>
          <w:tcPr/>
          <w:p>
            <w:pPr>
              <w:pStyle w:val="Compact"/>
              <w:jc w:val="left"/>
            </w:pPr>
            <w:r>
              <w:t xml:space="preserve">[Ad Soyad]</w:t>
            </w:r>
          </w:p>
        </w:tc>
        <w:tc>
          <w:tcPr/>
          <w:p>
            <w:pPr>
              <w:pStyle w:val="Compact"/>
            </w:pPr>
          </w:p>
        </w:tc>
        <w:tc>
          <w:tcPr/>
          <w:p>
            <w:pPr>
              <w:pStyle w:val="Compact"/>
              <w:jc w:val="left"/>
            </w:pPr>
            <w:r>
              <w:t xml:space="preserve">[gg.aa.yyyy]</w:t>
            </w:r>
          </w:p>
        </w:tc>
      </w:tr>
    </w:tbl>
    <w:p>
      <w:pPr>
        <w:pStyle w:val="BodyText"/>
      </w:pPr>
      <w:r>
        <w:t xml:space="preserve">Onaylayan: Sabri Paşayiğit, Kurucu Ortak / Genel Müdür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Şantiye İş Sağlığı ve Güvenliği Planı</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