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w:t>
      </w:r>
      <w:r>
        <w:t xml:space="preserve"> </w:t>
      </w:r>
      <w:r>
        <w:t xml:space="preserve">and</w:t>
      </w:r>
      <w:r>
        <w:t xml:space="preserve"> </w:t>
      </w:r>
      <w:r>
        <w:t xml:space="preserve">Safety</w:t>
      </w:r>
      <w:r>
        <w:t xml:space="preserve"> </w:t>
      </w:r>
      <w:r>
        <w:t xml:space="preserve">Measures</w:t>
      </w:r>
      <w:r>
        <w:t xml:space="preserve"> </w:t>
      </w:r>
      <w:r>
        <w:t xml:space="preserve">for</w:t>
      </w:r>
      <w:r>
        <w:t xml:space="preserve"> </w:t>
      </w:r>
      <w:r>
        <w:t xml:space="preserve">Construction</w:t>
      </w:r>
      <w:r>
        <w:t xml:space="preserve"> </w:t>
      </w:r>
      <w:r>
        <w:t xml:space="preserve">Work</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Doc. No</w:t>
            </w:r>
          </w:p>
        </w:tc>
        <w:tc>
          <w:tcPr/>
          <w:p>
            <w:pPr>
              <w:pStyle w:val="Compact"/>
              <w:jc w:val="left"/>
            </w:pPr>
            <w:r>
              <w:rPr>
                <w:b/>
              </w:rPr>
              <w:t xml:space="preserve">Issue Date</w:t>
            </w:r>
          </w:p>
        </w:tc>
        <w:tc>
          <w:tcPr/>
          <w:p>
            <w:pPr>
              <w:pStyle w:val="Compact"/>
              <w:jc w:val="left"/>
            </w:pPr>
            <w:r>
              <w:rPr>
                <w:b/>
              </w:rPr>
              <w:t xml:space="preserve">Rev. No</w:t>
            </w:r>
          </w:p>
        </w:tc>
      </w:tr>
      <w:tr>
        <w:tc>
          <w:tcPr/>
          <w:p>
            <w:pPr>
              <w:pStyle w:val="Compact"/>
              <w:jc w:val="left"/>
            </w:pPr>
            <w:r>
              <w:t xml:space="preserve">[Doc. No]</w:t>
            </w:r>
          </w:p>
        </w:tc>
        <w:tc>
          <w:tcPr/>
          <w:p>
            <w:pPr>
              <w:pStyle w:val="Compact"/>
              <w:jc w:val="left"/>
            </w:pPr>
            <w:r>
              <w:t xml:space="preserve">01.07.2026</w:t>
            </w:r>
          </w:p>
        </w:tc>
        <w:tc>
          <w:tcPr/>
          <w:p>
            <w:pPr>
              <w:pStyle w:val="Compact"/>
              <w:jc w:val="left"/>
            </w:pPr>
            <w:r>
              <w:t xml:space="preserve">[Rev. No]</w:t>
            </w:r>
          </w:p>
        </w:tc>
      </w:tr>
    </w:tbl>
    <w:bookmarkStart w:id="20" w:name="purpose-and-scope"/>
    <w:p>
      <w:pPr>
        <w:pStyle w:val="Heading3"/>
      </w:pPr>
      <w:r>
        <w:t xml:space="preserve">Purpose and scope</w:t>
      </w:r>
    </w:p>
    <w:p>
      <w:pPr>
        <w:pStyle w:val="FirstParagraph"/>
      </w:pPr>
      <w:r>
        <w:t xml:space="preserve">This instruction sets out the minimum measures, and their legal basis, for construction sites run by REM Mimarlık Dekorasyon Restorasyon Proje ve Taahhüt Hizmetleri Ltd. Şti. ("SP Architects") as contractor or managed through sub-contractors. A safe and healthy working environment is one of the ILO's fundamental principles and rights at work (ILO Conventions No. 155 and No. 187) and is required by UN Global Compact Principles 1–6. This instruction puts into practice Policy 7 — Health, Safety and Wellbeing and the Construction Site Health and Safety Plan (Document 4).</w:t>
      </w:r>
    </w:p>
    <w:p>
      <w:pPr>
        <w:numPr>
          <w:ilvl w:val="0"/>
          <w:numId w:val="1001"/>
        </w:numPr>
        <w:pStyle w:val="Compact"/>
      </w:pPr>
      <w:r>
        <w:t xml:space="preserve">The employer's responsibility is not removed by the obligations of workers or sub-contractors; no OHS cost, including PPE, is charged to workers (Occupational Health and Safety Law No. 6331, Art. 4).</w:t>
      </w:r>
    </w:p>
    <w:p>
      <w:pPr>
        <w:numPr>
          <w:ilvl w:val="0"/>
          <w:numId w:val="1001"/>
        </w:numPr>
        <w:pStyle w:val="Compact"/>
      </w:pPr>
      <w:r>
        <w:t xml:space="preserve">Every worker has the right to stop work and refuse to work in the face of serious and imminent danger (Law No. 6331, Art. 13), without retaliation.</w:t>
      </w:r>
    </w:p>
    <w:p>
      <w:pPr>
        <w:numPr>
          <w:ilvl w:val="0"/>
          <w:numId w:val="1001"/>
        </w:numPr>
        <w:pStyle w:val="Compact"/>
      </w:pPr>
      <w:r>
        <w:t xml:space="preserve">Hazards and near misses are reported to the site manager, the safety specialist, or through the channel in Policy 6 — Speak-Up and Whistleblower Protection.</w:t>
      </w:r>
    </w:p>
    <w:p>
      <w:pPr>
        <w:numPr>
          <w:ilvl w:val="0"/>
          <w:numId w:val="1001"/>
        </w:numPr>
        <w:pStyle w:val="Compact"/>
      </w:pPr>
      <w:r>
        <w:t xml:space="preserve">Workers and their representative take part in deciding on measures and are consulted (Law No. 6331, Art. 18).</w:t>
      </w:r>
    </w:p>
    <w:p>
      <w:pPr>
        <w:numPr>
          <w:ilvl w:val="0"/>
          <w:numId w:val="1001"/>
        </w:numPr>
        <w:pStyle w:val="Compact"/>
      </w:pPr>
      <w:r>
        <w:t xml:space="preserve">Sub-contractors commit to these measures by contract (Policy 8 — Supplier and Sub-consultant Code of Conduct).</w:t>
      </w:r>
    </w:p>
    <w:bookmarkEnd w:id="20"/>
    <w:bookmarkStart w:id="23" w:name="planning-and-notification"/>
    <w:p>
      <w:pPr>
        <w:pStyle w:val="Heading3"/>
      </w:pPr>
      <w:r>
        <w:t xml:space="preserve">1. Planning and notification</w:t>
      </w:r>
    </w:p>
    <w:bookmarkStart w:id="21" w:name="health-and-safety-plan"/>
    <w:p>
      <w:pPr>
        <w:pStyle w:val="Heading4"/>
      </w:pPr>
      <w:r>
        <w:t xml:space="preserve">Health and safety plan</w:t>
      </w:r>
    </w:p>
    <w:p>
      <w:pPr>
        <w:pStyle w:val="FirstParagraph"/>
      </w:pPr>
      <w:r>
        <w:t xml:space="preserve">The employer or project manager prepares a health and safety plan that reflects the activities on site. Where any of the high-risk work listed in Annex II of the regulation is carried out, the related measures are included in the plan. (Regulation on Health and Safety in Construction Works (Yapı İşlerinde Sağlık ve Güvenlik Yönetmeliği), Art. 5.a, 7.b)</w:t>
      </w:r>
    </w:p>
    <w:bookmarkEnd w:id="21"/>
    <w:bookmarkStart w:id="22" w:name="prior-notice"/>
    <w:p>
      <w:pPr>
        <w:pStyle w:val="Heading4"/>
      </w:pPr>
      <w:r>
        <w:t xml:space="preserve">Prior notice</w:t>
      </w:r>
    </w:p>
    <w:p>
      <w:pPr>
        <w:pStyle w:val="FirstParagraph"/>
      </w:pPr>
      <w:r>
        <w:t xml:space="preserve">Where construction will last more than 30 days with at least 20 workers on site at the same time, or will exceed 500 person-days, a prior notice containing the information in Annex III of the regulation is submitted to [competent authority]. The same information is displayed on a board in a visible place on site. (Regulation on Health and Safety in Construction Works, Art. 5.c)</w:t>
      </w:r>
    </w:p>
    <w:bookmarkEnd w:id="22"/>
    <w:bookmarkEnd w:id="23"/>
    <w:bookmarkStart w:id="28" w:name="workers-health-training-and-records"/>
    <w:p>
      <w:pPr>
        <w:pStyle w:val="Heading3"/>
      </w:pPr>
      <w:r>
        <w:t xml:space="preserve">2. Workers' health, training and records</w:t>
      </w:r>
    </w:p>
    <w:bookmarkStart w:id="24" w:name="personnel-file"/>
    <w:p>
      <w:pPr>
        <w:pStyle w:val="Heading4"/>
      </w:pPr>
      <w:r>
        <w:t xml:space="preserve">Personnel file</w:t>
      </w:r>
    </w:p>
    <w:p>
      <w:pPr>
        <w:pStyle w:val="FirstParagraph"/>
      </w:pPr>
      <w:r>
        <w:t xml:space="preserve">The employer keeps a personnel file for each worker containing identity details and the documents and records required by law, and shows it to the competent authorities on request. Information about workers is used in good faith and lawfully; information the worker has a legitimate interest in keeping confidential is not disclosed. (Labour Law No. 4857, Art. 75) Personal data, especially health data, are kept separately with restricted access in line with the Personal Data Protection Law No. 6698 (KVKK) (Policy 10 — Data Protection and Information Security).</w:t>
      </w:r>
    </w:p>
    <w:bookmarkEnd w:id="24"/>
    <w:bookmarkStart w:id="25" w:name="health-surveillance"/>
    <w:p>
      <w:pPr>
        <w:pStyle w:val="Heading4"/>
      </w:pPr>
      <w:r>
        <w:t xml:space="preserve">Health surveillance</w:t>
      </w:r>
    </w:p>
    <w:p>
      <w:pPr>
        <w:pStyle w:val="FirstParagraph"/>
      </w:pPr>
      <w:r>
        <w:t xml:space="preserve">Health surveillance is carried out by the workplace physician: on recruitment, on a change of job, on request when returning after a work accident, occupational disease or repeated health-related absence, and at regular intervals while employed. No one starts work without a report confirming they are medically fit for the job. Examination costs are never charged to workers. (Law No. 6331, Art. 15)</w:t>
      </w:r>
    </w:p>
    <w:bookmarkEnd w:id="25"/>
    <w:bookmarkStart w:id="26" w:name="tetanus-vaccination"/>
    <w:p>
      <w:pPr>
        <w:pStyle w:val="Heading4"/>
      </w:pPr>
      <w:r>
        <w:t xml:space="preserve">Tetanus vaccination</w:t>
      </w:r>
    </w:p>
    <w:p>
      <w:pPr>
        <w:pStyle w:val="FirstParagraph"/>
      </w:pPr>
      <w:r>
        <w:t xml:space="preserve">The workplace physician reviews the vaccination status of workers whose tasks carry a tetanus risk and arranges the necessary vaccination. Dirty, crushed or soil-contaminated wounds receive medical assessment and any necessary preventive treatment. (Law No. 6331, Art. 15; Workers' Health and Occupational Safety Bylaw (İşçi Sağlığı ve İş Güvenliği Tüzüğü), Art. 86 — currency to be confirmed)</w:t>
      </w:r>
    </w:p>
    <w:bookmarkEnd w:id="26"/>
    <w:bookmarkStart w:id="27" w:name="training"/>
    <w:p>
      <w:pPr>
        <w:pStyle w:val="Heading4"/>
      </w:pPr>
      <w:r>
        <w:t xml:space="preserve">Training</w:t>
      </w:r>
    </w:p>
    <w:p>
      <w:pPr>
        <w:pStyle w:val="FirstParagraph"/>
      </w:pPr>
      <w:r>
        <w:t xml:space="preserve">The employer checks that safety measures are followed and trains workers on the risks of their work, the precautions to take, and their legal rights and responsibilities. Training is free and given during working hours; topic, duration, attendees and gender breakdown are recorded. Content, duration and who may deliver training are set out in the relevant regulation. (Law No. 6331, Art. 17; Regulation on the Procedures and Principles of Employee OHS Training, Art. 4, 17)</w:t>
      </w:r>
    </w:p>
    <w:bookmarkEnd w:id="27"/>
    <w:bookmarkEnd w:id="28"/>
    <w:bookmarkStart w:id="33" w:name="work-equipment-and-lifting"/>
    <w:p>
      <w:pPr>
        <w:pStyle w:val="Heading3"/>
      </w:pPr>
      <w:r>
        <w:t xml:space="preserve">3. Work equipment and lifting</w:t>
      </w:r>
    </w:p>
    <w:bookmarkStart w:id="29" w:name="scaffold-inspection"/>
    <w:p>
      <w:pPr>
        <w:pStyle w:val="Heading4"/>
      </w:pPr>
      <w:r>
        <w:t xml:space="preserve">Scaffold inspection</w:t>
      </w:r>
    </w:p>
    <w:p>
      <w:pPr>
        <w:pStyle w:val="FirstParagraph"/>
      </w:pPr>
      <w:r>
        <w:t xml:space="preserve">Scaffolds are inspected by competent persons before first use, at regular intervals, after any alteration, after a period out of use, and after events such as earthquakes, storms or floods that may affect their stability; inspections are recorded. (Annex IV.B Part II, Art. 6.3)</w:t>
      </w:r>
    </w:p>
    <w:bookmarkEnd w:id="29"/>
    <w:bookmarkStart w:id="30" w:name="goods-hoists-and-lifting-equipment"/>
    <w:p>
      <w:pPr>
        <w:pStyle w:val="Heading4"/>
      </w:pPr>
      <w:r>
        <w:t xml:space="preserve">Goods hoists and lifting equipment</w:t>
      </w:r>
    </w:p>
    <w:p>
      <w:pPr>
        <w:pStyle w:val="FirstParagraph"/>
      </w:pPr>
      <w:r>
        <w:t xml:space="preserve">All lifting equipment, including connecting, fixing and supporting components, is periodically inspected, tested and examined as required by law. (Annex IV.B Part II, Art. 7.1.d)</w:t>
      </w:r>
    </w:p>
    <w:bookmarkEnd w:id="30"/>
    <w:bookmarkStart w:id="31" w:name="Xf95f1d4f59f21987f46761b5efac36bb9cb0c2d"/>
    <w:p>
      <w:pPr>
        <w:pStyle w:val="Heading4"/>
      </w:pPr>
      <w:r>
        <w:t xml:space="preserve">Mini cranes (gırgır vinç) and limit switches</w:t>
      </w:r>
    </w:p>
    <w:p>
      <w:pPr>
        <w:pStyle w:val="FirstParagraph"/>
      </w:pPr>
      <w:r>
        <w:t xml:space="preserve">Lifting equipment and accessories are correctly installed and used; limit switches are kept in working order; equipment is never used for purposes other than those intended. (Annex IV.B Part II, Art. 7.1.c, 7.3)</w:t>
      </w:r>
    </w:p>
    <w:bookmarkEnd w:id="31"/>
    <w:bookmarkStart w:id="32" w:name="crane-loading-areas"/>
    <w:p>
      <w:pPr>
        <w:pStyle w:val="Heading4"/>
      </w:pPr>
      <w:r>
        <w:t xml:space="preserve">Crane loading areas</w:t>
      </w:r>
    </w:p>
    <w:p>
      <w:pPr>
        <w:pStyle w:val="FirstParagraph"/>
      </w:pPr>
      <w:r>
        <w:t xml:space="preserve">Unauthorised entry to prohibited zones is prevented by suitable means. Danger zones are clearly marked, and workers permitted to enter them are protected. (Annex IV.A, Art. 10.4)</w:t>
      </w:r>
    </w:p>
    <w:bookmarkEnd w:id="32"/>
    <w:bookmarkEnd w:id="33"/>
    <w:bookmarkStart w:id="36" w:name="electrical-safety"/>
    <w:p>
      <w:pPr>
        <w:pStyle w:val="Heading3"/>
      </w:pPr>
      <w:r>
        <w:t xml:space="preserve">4. Electrical safety</w:t>
      </w:r>
    </w:p>
    <w:bookmarkStart w:id="34" w:name="exposed-conductors"/>
    <w:p>
      <w:pPr>
        <w:pStyle w:val="Heading4"/>
      </w:pPr>
      <w:r>
        <w:t xml:space="preserve">Exposed conductors</w:t>
      </w:r>
    </w:p>
    <w:p>
      <w:pPr>
        <w:pStyle w:val="FirstParagraph"/>
      </w:pPr>
      <w:r>
        <w:t xml:space="preserve">No conductors are left exposed on site; they are protected against external damage. Power distribution installations, especially those exposed to the elements, are regularly inspected and maintained. (Annex IV.B Part II, Art. 2.1)</w:t>
      </w:r>
    </w:p>
    <w:bookmarkEnd w:id="34"/>
    <w:bookmarkStart w:id="35" w:name="earthing"/>
    <w:p>
      <w:pPr>
        <w:pStyle w:val="Heading4"/>
      </w:pPr>
      <w:r>
        <w:t xml:space="preserve">Earthing</w:t>
      </w:r>
    </w:p>
    <w:p>
      <w:pPr>
        <w:pStyle w:val="FirstParagraph"/>
      </w:pPr>
      <w:r>
        <w:t xml:space="preserve">Electrical equipment with exposed metal parts is properly earthed. All work equipment protects workers from direct or indirect contact with electricity. (Regulation on Health and Safety Requirements for the Use of Work Equipment, Annex I, Art. 2.19)</w:t>
      </w:r>
    </w:p>
    <w:bookmarkEnd w:id="35"/>
    <w:bookmarkEnd w:id="36"/>
    <w:bookmarkStart w:id="48" w:name="site-layout-and-access"/>
    <w:p>
      <w:pPr>
        <w:pStyle w:val="Heading3"/>
      </w:pPr>
      <w:r>
        <w:t xml:space="preserve">5. Site layout and access</w:t>
      </w:r>
    </w:p>
    <w:bookmarkStart w:id="37" w:name="site-hoarding"/>
    <w:p>
      <w:pPr>
        <w:pStyle w:val="Heading4"/>
      </w:pPr>
      <w:r>
        <w:t xml:space="preserve">Site hoarding</w:t>
      </w:r>
    </w:p>
    <w:p>
      <w:pPr>
        <w:pStyle w:val="FirstParagraph"/>
      </w:pPr>
      <w:r>
        <w:t xml:space="preserve">The site perimeter is fenced and marked so that it is easily seen and recognised. (Annex IV.A, Art. 18.1)</w:t>
      </w:r>
    </w:p>
    <w:bookmarkEnd w:id="37"/>
    <w:bookmarkStart w:id="38" w:name="safety-signs"/>
    <w:p>
      <w:pPr>
        <w:pStyle w:val="Heading4"/>
      </w:pPr>
      <w:r>
        <w:t xml:space="preserve">Safety signs</w:t>
      </w:r>
    </w:p>
    <w:p>
      <w:pPr>
        <w:pStyle w:val="FirstParagraph"/>
      </w:pPr>
      <w:r>
        <w:t xml:space="preserve">Where risks cannot be eliminated or sufficiently reduced through working methods, organisation or collective protection, safety and health signs are provided and correctly used. (Regulation on Safety and Health Signs, Art. 5)</w:t>
      </w:r>
    </w:p>
    <w:bookmarkEnd w:id="38"/>
    <w:bookmarkStart w:id="39" w:name="edge-marking-on-floor-slabs"/>
    <w:p>
      <w:pPr>
        <w:pStyle w:val="Heading4"/>
      </w:pPr>
      <w:r>
        <w:t xml:space="preserve">Edge marking on floor slabs</w:t>
      </w:r>
    </w:p>
    <w:p>
      <w:pPr>
        <w:pStyle w:val="FirstParagraph"/>
      </w:pPr>
      <w:r>
        <w:t xml:space="preserve">Places with a risk of collision, falls or falling objects are marked with alternating yellow-and-black or red-and-white stripes of equal width at roughly 45°, sized in proportion to the hazard. (Regulation on Safety and Health Signs, Annex V.1)</w:t>
      </w:r>
    </w:p>
    <w:bookmarkEnd w:id="39"/>
    <w:bookmarkStart w:id="40" w:name="lighting"/>
    <w:p>
      <w:pPr>
        <w:pStyle w:val="Heading4"/>
      </w:pPr>
      <w:r>
        <w:t xml:space="preserve">Lighting</w:t>
      </w:r>
    </w:p>
    <w:p>
      <w:pPr>
        <w:pStyle w:val="FirstParagraph"/>
      </w:pPr>
      <w:r>
        <w:t xml:space="preserve">Work areas are lit by daylight as far as possible; where this is not enough, including on stairs, adequate artificial lighting is provided. (Annex IV.A, Art. 8.1)</w:t>
      </w:r>
    </w:p>
    <w:bookmarkEnd w:id="40"/>
    <w:bookmarkStart w:id="41" w:name="walkways-stairs-and-ramps"/>
    <w:p>
      <w:pPr>
        <w:pStyle w:val="Heading4"/>
      </w:pPr>
      <w:r>
        <w:t xml:space="preserve">Walkways, stairs and ramps</w:t>
      </w:r>
    </w:p>
    <w:p>
      <w:pPr>
        <w:pStyle w:val="FirstParagraph"/>
      </w:pPr>
      <w:r>
        <w:t xml:space="preserve">All traffic routes, including stairs, temporary stairs, loading bays and ramps, are designed for easy and safe passage without endangering people working nearby. (Annex IV.A, Art. 10.1)</w:t>
      </w:r>
    </w:p>
    <w:bookmarkEnd w:id="41"/>
    <w:bookmarkStart w:id="42" w:name="guardrails"/>
    <w:p>
      <w:pPr>
        <w:pStyle w:val="Heading4"/>
      </w:pPr>
      <w:r>
        <w:t xml:space="preserve">Guardrails</w:t>
      </w:r>
    </w:p>
    <w:p>
      <w:pPr>
        <w:pStyle w:val="FirstParagraph"/>
      </w:pPr>
      <w:r>
        <w:t xml:space="preserve">Falls from height are prevented primarily by sturdy guardrails of adequate height or equivalent collective protection. Guardrails have at least a top rail, an intermediate rail and a toe board. (Annex IV.B Part II, Art. 5.1)</w:t>
      </w:r>
    </w:p>
    <w:bookmarkEnd w:id="42"/>
    <w:bookmarkStart w:id="43" w:name="openings"/>
    <w:p>
      <w:pPr>
        <w:pStyle w:val="Heading4"/>
      </w:pPr>
      <w:r>
        <w:t xml:space="preserve">Openings</w:t>
      </w:r>
    </w:p>
    <w:p>
      <w:pPr>
        <w:pStyle w:val="FirstParagraph"/>
      </w:pPr>
      <w:r>
        <w:t xml:space="preserve">Floors are stable, sound and non-slip, with no dangerous obstructions, holes or slopes. Lift shafts and similar openings are protected by guardrails, covers or nets. (Annex IV.B Part I, Art. 6.1)</w:t>
      </w:r>
    </w:p>
    <w:bookmarkEnd w:id="43"/>
    <w:bookmarkStart w:id="44" w:name="falling-objects"/>
    <w:p>
      <w:pPr>
        <w:pStyle w:val="Heading4"/>
      </w:pPr>
      <w:r>
        <w:t xml:space="preserve">Falling objects</w:t>
      </w:r>
    </w:p>
    <w:p>
      <w:pPr>
        <w:pStyle w:val="FirstParagraph"/>
      </w:pPr>
      <w:r>
        <w:t xml:space="preserve">Access to areas at risk from falling materials is prevented; covered walkways are provided at building entrances. (Annex IV.B Part II, Art. 4)</w:t>
      </w:r>
    </w:p>
    <w:bookmarkEnd w:id="44"/>
    <w:bookmarkStart w:id="45" w:name="excavations"/>
    <w:p>
      <w:pPr>
        <w:pStyle w:val="Heading4"/>
      </w:pPr>
      <w:r>
        <w:t xml:space="preserve">Excavations</w:t>
      </w:r>
    </w:p>
    <w:p>
      <w:pPr>
        <w:numPr>
          <w:ilvl w:val="0"/>
          <w:numId w:val="1002"/>
        </w:numPr>
        <w:pStyle w:val="Compact"/>
      </w:pPr>
      <w:r>
        <w:t xml:space="preserve">In excavations, shafts, underground works, tunnels and trenches: suitable shoring and supports are used; precautions are taken against falling materials, flooding and people falling; adequate ventilation provides breathable air at every workplace; and workers can reach safety in the event of fire, flooding or collapse.</w:t>
      </w:r>
    </w:p>
    <w:p>
      <w:pPr>
        <w:numPr>
          <w:ilvl w:val="0"/>
          <w:numId w:val="1002"/>
        </w:numPr>
        <w:pStyle w:val="Compact"/>
      </w:pPr>
      <w:r>
        <w:t xml:space="preserve">Before digging, underground cables and other services are located and the associated hazards minimised.</w:t>
      </w:r>
    </w:p>
    <w:p>
      <w:pPr>
        <w:numPr>
          <w:ilvl w:val="0"/>
          <w:numId w:val="1002"/>
        </w:numPr>
        <w:pStyle w:val="Compact"/>
      </w:pPr>
      <w:r>
        <w:t xml:space="preserve">Safe means of access and exit are provided.</w:t>
      </w:r>
    </w:p>
    <w:p>
      <w:pPr>
        <w:numPr>
          <w:ilvl w:val="0"/>
          <w:numId w:val="1002"/>
        </w:numPr>
        <w:pStyle w:val="Compact"/>
      </w:pPr>
      <w:r>
        <w:t xml:space="preserve">Spoil heaps, materials and moving vehicles are kept away from the edge, with barriers where needed.</w:t>
      </w:r>
    </w:p>
    <w:p>
      <w:pPr>
        <w:pStyle w:val="FirstParagraph"/>
      </w:pPr>
      <w:r>
        <w:t xml:space="preserve">(Annex IV.B Part II, Art. 10)</w:t>
      </w:r>
    </w:p>
    <w:bookmarkEnd w:id="45"/>
    <w:bookmarkStart w:id="46" w:name="waste-and-housekeeping"/>
    <w:p>
      <w:pPr>
        <w:pStyle w:val="Heading4"/>
      </w:pPr>
      <w:r>
        <w:t xml:space="preserve">Waste and housekeeping</w:t>
      </w:r>
    </w:p>
    <w:p>
      <w:pPr>
        <w:pStyle w:val="FirstParagraph"/>
      </w:pPr>
      <w:r>
        <w:t xml:space="preserve">The site is kept orderly and clean; waste is segregated, collected in designated areas and removed regularly (see Policy 1 — Environmental). (Regulation on Health and Safety in Construction Works, Art. 10.a)</w:t>
      </w:r>
    </w:p>
    <w:bookmarkEnd w:id="46"/>
    <w:bookmarkStart w:id="47" w:name="changing-rooms-toilets-and-washbasins"/>
    <w:p>
      <w:pPr>
        <w:pStyle w:val="Heading4"/>
      </w:pPr>
      <w:r>
        <w:t xml:space="preserve">Changing rooms, toilets and washbasins</w:t>
      </w:r>
    </w:p>
    <w:p>
      <w:pPr>
        <w:pStyle w:val="FirstParagraph"/>
      </w:pPr>
      <w:r>
        <w:t xml:space="preserve">Workers who wear work clothing have easily accessible changing rooms of adequate capacity, with seating and privacy. Enough toilets, washbasins and cleaning materials are provided near work, rest, washing and changing areas, separate for women and men or arranged for separate use. (Annex IV.A, Art. 14)</w:t>
      </w:r>
    </w:p>
    <w:bookmarkEnd w:id="47"/>
    <w:bookmarkEnd w:id="48"/>
    <w:bookmarkStart w:id="51" w:name="first-aid-and-emergencies"/>
    <w:p>
      <w:pPr>
        <w:pStyle w:val="Heading3"/>
      </w:pPr>
      <w:r>
        <w:t xml:space="preserve">6. First aid and emergencies</w:t>
      </w:r>
    </w:p>
    <w:bookmarkStart w:id="49" w:name="first-aid-supplies-and-stretchers"/>
    <w:p>
      <w:pPr>
        <w:pStyle w:val="Heading4"/>
      </w:pPr>
      <w:r>
        <w:t xml:space="preserve">First aid supplies and stretchers</w:t>
      </w:r>
    </w:p>
    <w:p>
      <w:pPr>
        <w:pStyle w:val="FirstParagraph"/>
      </w:pPr>
      <w:r>
        <w:t xml:space="preserve">Adequate first aid supplies and a portable stretcher are kept on site. First aid rooms are suitably equipped, stretchers are ready for use, and both are signed in line with the law. (Annex IV.A, Art. 13.3)</w:t>
      </w:r>
    </w:p>
    <w:bookmarkEnd w:id="49"/>
    <w:bookmarkStart w:id="50" w:name="first-aid-and-emergency-numbers"/>
    <w:p>
      <w:pPr>
        <w:pStyle w:val="Heading4"/>
      </w:pPr>
      <w:r>
        <w:t xml:space="preserve">First aid and emergency numbers</w:t>
      </w:r>
    </w:p>
    <w:p>
      <w:pPr>
        <w:pStyle w:val="FirstParagraph"/>
      </w:pPr>
      <w:r>
        <w:t xml:space="preserve">Easily accessible, clearly signed first aid equipment is provided wherever working conditions require. The 112 emergency number and the address and phone number of the nearest healthcare facility are displayed prominently. (Annex IV.A, Art. 13.4)</w:t>
      </w:r>
    </w:p>
    <w:bookmarkEnd w:id="50"/>
    <w:bookmarkEnd w:id="51"/>
    <w:bookmarkStart w:id="52" w:name="personal-protective-equipment"/>
    <w:p>
      <w:pPr>
        <w:pStyle w:val="Heading3"/>
      </w:pPr>
      <w:r>
        <w:t xml:space="preserve">7. Personal protective equipment</w:t>
      </w:r>
    </w:p>
    <w:p>
      <w:pPr>
        <w:pStyle w:val="FirstParagraph"/>
      </w:pPr>
      <w:r>
        <w:t xml:space="preserve">PPE is used where collective protection is not enough. The employer provides suitable PPE free of charge, gives training and instructions on its correct use, and makes sure it is always working, clean, maintained and replaced when needed. Workers use PPE as trained and report any defect or shortage straight away. (Regulation on the Use of Personal Protective Equipment at Work, Art. 8)</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PPE type</w:t>
            </w:r>
          </w:p>
        </w:tc>
        <w:tc>
          <w:tcPr/>
          <w:p>
            <w:pPr>
              <w:pStyle w:val="Compact"/>
              <w:jc w:val="left"/>
            </w:pPr>
            <w:r>
              <w:rPr>
                <w:b/>
              </w:rPr>
              <w:t xml:space="preserve">When required</w:t>
            </w:r>
          </w:p>
        </w:tc>
        <w:tc>
          <w:tcPr/>
          <w:p>
            <w:pPr>
              <w:pStyle w:val="Compact"/>
              <w:jc w:val="left"/>
            </w:pPr>
            <w:r>
              <w:rPr>
                <w:b/>
              </w:rPr>
              <w:t xml:space="preserve">Regulation</w:t>
            </w:r>
          </w:p>
        </w:tc>
      </w:tr>
      <w:tr>
        <w:tc>
          <w:tcPr/>
          <w:p>
            <w:pPr>
              <w:pStyle w:val="Compact"/>
              <w:jc w:val="left"/>
            </w:pPr>
            <w:r>
              <w:t xml:space="preserve">Safety helmet</w:t>
            </w:r>
          </w:p>
        </w:tc>
        <w:tc>
          <w:tcPr/>
          <w:p>
            <w:pPr>
              <w:pStyle w:val="Compact"/>
              <w:jc w:val="left"/>
            </w:pPr>
            <w:r>
              <w:t xml:space="preserve">At all times on site</w:t>
            </w:r>
          </w:p>
        </w:tc>
        <w:tc>
          <w:tcPr/>
          <w:p>
            <w:pPr>
              <w:pStyle w:val="Compact"/>
              <w:jc w:val="left"/>
            </w:pPr>
            <w:r>
              <w:t xml:space="preserve">PPE Regulation, Annex III-1</w:t>
            </w:r>
          </w:p>
        </w:tc>
      </w:tr>
      <w:tr>
        <w:tc>
          <w:tcPr/>
          <w:p>
            <w:pPr>
              <w:pStyle w:val="Compact"/>
              <w:jc w:val="left"/>
            </w:pPr>
            <w:r>
              <w:t xml:space="preserve">Safety glasses, face shield</w:t>
            </w:r>
          </w:p>
        </w:tc>
        <w:tc>
          <w:tcPr/>
          <w:p>
            <w:pPr>
              <w:pStyle w:val="Compact"/>
              <w:jc w:val="left"/>
            </w:pPr>
            <w:r>
              <w:t xml:space="preserve">Welding, grinding and cutting; caulking and chiselling; stone dressing; bolting; machining and swarf removal; hot pressing of iron; breaking up waste; abrasive blasting; acids, alkalis, disinfectants and corrosive cleaners; liquid sprays; molten materials; radiant heat; lasers</w:t>
            </w:r>
          </w:p>
        </w:tc>
        <w:tc>
          <w:tcPr/>
          <w:p>
            <w:pPr>
              <w:pStyle w:val="Compact"/>
              <w:jc w:val="left"/>
            </w:pPr>
            <w:r>
              <w:t xml:space="preserve">PPE Regulation, Annex III-3</w:t>
            </w:r>
          </w:p>
        </w:tc>
      </w:tr>
      <w:tr>
        <w:tc>
          <w:tcPr/>
          <w:p>
            <w:pPr>
              <w:pStyle w:val="Compact"/>
              <w:jc w:val="left"/>
            </w:pPr>
            <w:r>
              <w:t xml:space="preserve">Full-body harness and anchorage</w:t>
            </w:r>
          </w:p>
        </w:tc>
        <w:tc>
          <w:tcPr/>
          <w:p>
            <w:pPr>
              <w:pStyle w:val="Compact"/>
              <w:jc w:val="left"/>
            </w:pPr>
            <w:r>
              <w:t xml:space="preserve">Anywhere with a risk of falling from height and no collective protection</w:t>
            </w:r>
          </w:p>
        </w:tc>
        <w:tc>
          <w:tcPr/>
          <w:p>
            <w:pPr>
              <w:pStyle w:val="Compact"/>
              <w:jc w:val="left"/>
            </w:pPr>
            <w:r>
              <w:t xml:space="preserve">PPE Regulation, Annex III-9</w:t>
            </w:r>
          </w:p>
        </w:tc>
      </w:tr>
      <w:tr>
        <w:tc>
          <w:tcPr/>
          <w:p>
            <w:pPr>
              <w:pStyle w:val="Compact"/>
              <w:jc w:val="left"/>
            </w:pPr>
            <w:r>
              <w:t xml:space="preserve">Safety footwear</w:t>
            </w:r>
          </w:p>
        </w:tc>
        <w:tc>
          <w:tcPr/>
          <w:p>
            <w:pPr>
              <w:pStyle w:val="Compact"/>
              <w:jc w:val="left"/>
            </w:pPr>
            <w:r>
              <w:t xml:space="preserve">At all times on site</w:t>
            </w:r>
          </w:p>
        </w:tc>
        <w:tc>
          <w:tcPr/>
          <w:p>
            <w:pPr>
              <w:pStyle w:val="Compact"/>
              <w:jc w:val="left"/>
            </w:pPr>
            <w:r>
              <w:t xml:space="preserve">PPE Regulation, Annex III ([item to be confirmed])</w:t>
            </w:r>
          </w:p>
        </w:tc>
      </w:tr>
      <w:tr>
        <w:tc>
          <w:tcPr/>
          <w:p>
            <w:pPr>
              <w:pStyle w:val="Compact"/>
              <w:jc w:val="left"/>
            </w:pPr>
            <w:r>
              <w:t xml:space="preserve">Gloves</w:t>
            </w:r>
          </w:p>
        </w:tc>
        <w:tc>
          <w:tcPr/>
          <w:p>
            <w:pPr>
              <w:pStyle w:val="Compact"/>
              <w:jc w:val="left"/>
            </w:pPr>
            <w:r>
              <w:t xml:space="preserve">Handling materials, sharp edges, chemicals or hot materials</w:t>
            </w:r>
          </w:p>
        </w:tc>
        <w:tc>
          <w:tcPr/>
          <w:p>
            <w:pPr>
              <w:pStyle w:val="Compact"/>
              <w:jc w:val="left"/>
            </w:pPr>
            <w:r>
              <w:t xml:space="preserve">PPE Regulation, Annex III ([item to be confirmed])</w:t>
            </w:r>
          </w:p>
        </w:tc>
      </w:tr>
      <w:tr>
        <w:tc>
          <w:tcPr/>
          <w:p>
            <w:pPr>
              <w:pStyle w:val="Compact"/>
              <w:jc w:val="left"/>
            </w:pPr>
            <w:r>
              <w:t xml:space="preserve">High-visibility vest</w:t>
            </w:r>
          </w:p>
        </w:tc>
        <w:tc>
          <w:tcPr/>
          <w:p>
            <w:pPr>
              <w:pStyle w:val="Compact"/>
              <w:jc w:val="left"/>
            </w:pPr>
            <w:r>
              <w:t xml:space="preserve">Areas with vehicle and plant movement</w:t>
            </w:r>
          </w:p>
        </w:tc>
        <w:tc>
          <w:tcPr/>
          <w:p>
            <w:pPr>
              <w:pStyle w:val="Compact"/>
              <w:jc w:val="left"/>
            </w:pPr>
            <w:r>
              <w:t xml:space="preserve">PPE Regulation, Annex III ([item to be confirmed])</w:t>
            </w:r>
          </w:p>
        </w:tc>
      </w:tr>
    </w:tbl>
    <w:p>
      <w:pPr>
        <w:pStyle w:val="BodyText"/>
      </w:pPr>
      <w:r>
        <w:t xml:space="preserve">This instruction has been read and explained to the worker, who has had the opportunity to ask questions and receive a copy.</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pPr>
          </w:p>
        </w:tc>
        <w:tc>
          <w:tcPr/>
          <w:p>
            <w:pPr>
              <w:pStyle w:val="Compact"/>
              <w:jc w:val="left"/>
            </w:pPr>
            <w:r>
              <w:rPr>
                <w:b/>
              </w:rPr>
              <w:t xml:space="preserve">Issued by</w:t>
            </w:r>
          </w:p>
        </w:tc>
        <w:tc>
          <w:tcPr/>
          <w:p>
            <w:pPr>
              <w:pStyle w:val="Compact"/>
              <w:jc w:val="left"/>
            </w:pPr>
            <w:r>
              <w:rPr>
                <w:b/>
              </w:rPr>
              <w:t xml:space="preserve">Received by</w:t>
            </w:r>
          </w:p>
        </w:tc>
      </w:tr>
      <w:tr>
        <w:tc>
          <w:tcPr/>
          <w:p>
            <w:pPr>
              <w:pStyle w:val="Compact"/>
              <w:jc w:val="left"/>
            </w:pPr>
            <w:r>
              <w:t xml:space="preserve">Name</w:t>
            </w:r>
          </w:p>
        </w:tc>
        <w:tc>
          <w:tcPr/>
          <w:p>
            <w:pPr>
              <w:pStyle w:val="Compact"/>
            </w:pPr>
          </w:p>
        </w:tc>
        <w:tc>
          <w:tcPr/>
          <w:p>
            <w:pPr>
              <w:pStyle w:val="Compact"/>
            </w:pPr>
          </w:p>
        </w:tc>
      </w:tr>
      <w:tr>
        <w:tc>
          <w:tcPr/>
          <w:p>
            <w:pPr>
              <w:pStyle w:val="Compact"/>
              <w:jc w:val="left"/>
            </w:pPr>
            <w:r>
              <w:t xml:space="preserve">Title</w:t>
            </w:r>
          </w:p>
        </w:tc>
        <w:tc>
          <w:tcPr/>
          <w:p>
            <w:pPr>
              <w:pStyle w:val="Compact"/>
            </w:pPr>
          </w:p>
        </w:tc>
        <w:tc>
          <w:tcPr/>
          <w:p>
            <w:pPr>
              <w:pStyle w:val="Compact"/>
            </w:pPr>
          </w:p>
        </w:tc>
      </w:tr>
      <w:tr>
        <w:tc>
          <w:tcPr/>
          <w:p>
            <w:pPr>
              <w:pStyle w:val="Compact"/>
              <w:jc w:val="left"/>
            </w:pPr>
            <w:r>
              <w:t xml:space="preserve">Date</w:t>
            </w:r>
          </w:p>
        </w:tc>
        <w:tc>
          <w:tcPr/>
          <w:p>
            <w:pPr>
              <w:pStyle w:val="Compact"/>
            </w:pPr>
          </w:p>
        </w:tc>
        <w:tc>
          <w:tcPr/>
          <w:p>
            <w:pPr>
              <w:pStyle w:val="Compact"/>
            </w:pPr>
          </w:p>
        </w:tc>
      </w:tr>
      <w:tr>
        <w:tc>
          <w:tcPr/>
          <w:p>
            <w:pPr>
              <w:pStyle w:val="Compact"/>
              <w:jc w:val="left"/>
            </w:pPr>
            <w:r>
              <w:t xml:space="preserve">Signature</w:t>
            </w:r>
          </w:p>
        </w:tc>
        <w:tc>
          <w:tcPr/>
          <w:p>
            <w:pPr>
              <w:pStyle w:val="Compact"/>
            </w:pPr>
          </w:p>
        </w:tc>
        <w:tc>
          <w:tcPr/>
          <w:p>
            <w:pPr>
              <w:pStyle w:val="Compact"/>
            </w:pPr>
          </w:p>
        </w:tc>
      </w:tr>
    </w:tbl>
    <w:p>
      <w:pPr>
        <w:pStyle w:val="BodyText"/>
      </w:pPr>
      <w:r>
        <w:t xml:space="preserve">Approved by: Sabri Paşayiğit, Founding Partner / General Manager</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and Safety Measures for Construction Work</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