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İnşaat</w:t>
      </w:r>
      <w:r>
        <w:t xml:space="preserve"> </w:t>
      </w:r>
      <w:r>
        <w:t xml:space="preserve">İşlerinde</w:t>
      </w:r>
      <w:r>
        <w:t xml:space="preserve"> </w:t>
      </w:r>
      <w:r>
        <w:t xml:space="preserve">İş</w:t>
      </w:r>
      <w:r>
        <w:t xml:space="preserve"> </w:t>
      </w:r>
      <w:r>
        <w:t xml:space="preserve">Sağlığı</w:t>
      </w:r>
      <w:r>
        <w:t xml:space="preserve"> </w:t>
      </w:r>
      <w:r>
        <w:t xml:space="preserve">ve</w:t>
      </w:r>
      <w:r>
        <w:t xml:space="preserve"> </w:t>
      </w:r>
      <w:r>
        <w:t xml:space="preserve">Güvenliği</w:t>
      </w:r>
      <w:r>
        <w:t xml:space="preserve"> </w:t>
      </w:r>
      <w:r>
        <w:t xml:space="preserve">Önlemleri</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Dok. No</w:t>
            </w:r>
          </w:p>
        </w:tc>
        <w:tc>
          <w:tcPr/>
          <w:p>
            <w:pPr>
              <w:pStyle w:val="Compact"/>
              <w:jc w:val="left"/>
            </w:pPr>
            <w:r>
              <w:rPr>
                <w:b/>
              </w:rPr>
              <w:t xml:space="preserve">Yay. Tarihi</w:t>
            </w:r>
          </w:p>
        </w:tc>
        <w:tc>
          <w:tcPr/>
          <w:p>
            <w:pPr>
              <w:pStyle w:val="Compact"/>
              <w:jc w:val="left"/>
            </w:pPr>
            <w:r>
              <w:rPr>
                <w:b/>
              </w:rPr>
              <w:t xml:space="preserve">Rev. No</w:t>
            </w:r>
          </w:p>
        </w:tc>
      </w:tr>
      <w:tr>
        <w:tc>
          <w:tcPr/>
          <w:p>
            <w:pPr>
              <w:pStyle w:val="Compact"/>
              <w:jc w:val="left"/>
            </w:pPr>
            <w:r>
              <w:t xml:space="preserve">[Dok. No]</w:t>
            </w:r>
          </w:p>
        </w:tc>
        <w:tc>
          <w:tcPr/>
          <w:p>
            <w:pPr>
              <w:pStyle w:val="Compact"/>
              <w:jc w:val="left"/>
            </w:pPr>
            <w:r>
              <w:t xml:space="preserve">01.07.2026</w:t>
            </w:r>
          </w:p>
        </w:tc>
        <w:tc>
          <w:tcPr/>
          <w:p>
            <w:pPr>
              <w:pStyle w:val="Compact"/>
              <w:jc w:val="left"/>
            </w:pPr>
            <w:r>
              <w:t xml:space="preserve">[Rev. No]</w:t>
            </w:r>
          </w:p>
        </w:tc>
      </w:tr>
    </w:tbl>
    <w:bookmarkStart w:id="20" w:name="amaç-ve-kapsam"/>
    <w:p>
      <w:pPr>
        <w:pStyle w:val="Heading3"/>
      </w:pPr>
      <w:r>
        <w:t xml:space="preserve">Amaç ve kapsam</w:t>
      </w:r>
    </w:p>
    <w:p>
      <w:pPr>
        <w:pStyle w:val="FirstParagraph"/>
      </w:pPr>
      <w:r>
        <w:t xml:space="preserve">Bu talimat, REM Mimarlık Dekorasyon Restorasyon Proje ve Taahhüt Hizmetleri Ltd. Şti. ("SP Architects") tarafından yüklenici olarak yürütülen veya alt yüklenicilerle yönetilen şantiyelerde uygulanacak asgari önlemleri ve yasal dayanaklarını listeler. Güvenli ve sağlıklı çalışma ortamı, ILO'nun çalışmaya ilişkin temel ilke ve haklarından biridir (ILO 155 ve 187 sayılı Sözleşmeler) ve UN Global Compact İlke 1–6'nın gereğidir. Talimat, Politika 7 — İş Sağlığı, Güvenliği ve Esenlik ile Şantiye İş Sağlığı ve Güvenliği Planı'nın (Belge 4) uygulamasıdır.</w:t>
      </w:r>
    </w:p>
    <w:p>
      <w:pPr>
        <w:numPr>
          <w:ilvl w:val="0"/>
          <w:numId w:val="1001"/>
        </w:numPr>
        <w:pStyle w:val="Compact"/>
      </w:pPr>
      <w:r>
        <w:t xml:space="preserve">İşverenin sorumluluğu, çalışanların veya alt yüklenicilerin yükümlülükleriyle ortadan kalkmaz; KKD dahil hiçbir İSG maliyeti çalışanlardan istenmez (6331 Md. 4).</w:t>
      </w:r>
    </w:p>
    <w:p>
      <w:pPr>
        <w:numPr>
          <w:ilvl w:val="0"/>
          <w:numId w:val="1001"/>
        </w:numPr>
        <w:pStyle w:val="Compact"/>
      </w:pPr>
      <w:r>
        <w:t xml:space="preserve">Ciddi ve yakın tehlike karşısında her çalışan işi durdurma ve çalışmaktan kaçınma hakkına sahiptir (6331 Md. 13); bu hak misillemesiz kullanılır.</w:t>
      </w:r>
    </w:p>
    <w:p>
      <w:pPr>
        <w:numPr>
          <w:ilvl w:val="0"/>
          <w:numId w:val="1001"/>
        </w:numPr>
        <w:pStyle w:val="Compact"/>
      </w:pPr>
      <w:r>
        <w:t xml:space="preserve">Tehlike ve ramak kala olayları şantiye şefine, İSG uzmanına veya Politika 6 — Bildirim ve Misillemeye Karşı Koruma kanalına bildirilir.</w:t>
      </w:r>
    </w:p>
    <w:p>
      <w:pPr>
        <w:numPr>
          <w:ilvl w:val="0"/>
          <w:numId w:val="1001"/>
        </w:numPr>
        <w:pStyle w:val="Compact"/>
      </w:pPr>
      <w:r>
        <w:t xml:space="preserve">Çalışanlar ve çalışan temsilcisi önlemlerin belirlenmesine katılır ve görüşleri alınır (6331 Md. 18).</w:t>
      </w:r>
    </w:p>
    <w:p>
      <w:pPr>
        <w:numPr>
          <w:ilvl w:val="0"/>
          <w:numId w:val="1001"/>
        </w:numPr>
        <w:pStyle w:val="Compact"/>
      </w:pPr>
      <w:r>
        <w:t xml:space="preserve">Alt yükleniciler bu önlemlere uymayı sözleşmeyle taahhüt eder (Politika 8 — Tedarikçi ve Alt Yüklenici Davranış Kuralları).</w:t>
      </w:r>
    </w:p>
    <w:bookmarkEnd w:id="20"/>
    <w:bookmarkStart w:id="23" w:name="planlama-ve-bildirim"/>
    <w:p>
      <w:pPr>
        <w:pStyle w:val="Heading3"/>
      </w:pPr>
      <w:r>
        <w:t xml:space="preserve">1. Planlama ve bildirim</w:t>
      </w:r>
    </w:p>
    <w:bookmarkStart w:id="21" w:name="sağlık-ve-güvenlik-planı"/>
    <w:p>
      <w:pPr>
        <w:pStyle w:val="Heading4"/>
      </w:pPr>
      <w:r>
        <w:t xml:space="preserve">Sağlık ve güvenlik planı</w:t>
      </w:r>
    </w:p>
    <w:p>
      <w:pPr>
        <w:pStyle w:val="FirstParagraph"/>
      </w:pPr>
      <w:r>
        <w:t xml:space="preserve">İşveren veya proje sorumlusu, şantiyedeki faaliyetleri dikkate alarak bir sağlık ve güvenlik planı hazırlar. Yönetmeliğin EK-II'sinde sayılan özel riskli işler yapılacaksa bunlara ilişkin önlemler planda yer alır. (Yapı İşlerinde Sağlık ve Güvenlik Yönetmeliği Md. 5.a, 7.b)</w:t>
      </w:r>
    </w:p>
    <w:bookmarkEnd w:id="21"/>
    <w:bookmarkStart w:id="22" w:name="ön-bildirim"/>
    <w:p>
      <w:pPr>
        <w:pStyle w:val="Heading4"/>
      </w:pPr>
      <w:r>
        <w:t xml:space="preserve">Ön bildirim</w:t>
      </w:r>
    </w:p>
    <w:p>
      <w:pPr>
        <w:pStyle w:val="FirstParagraph"/>
      </w:pPr>
      <w:r>
        <w:t xml:space="preserve">Yapı işi 30 günden fazla sürecek ve aynı anda en az 20 çalışan çalışacak ya da işin büyüklüğü 500 yevmiyeyi aşacaksa, yönetmeliğin EK-III'ünde belirtilen bilgileri içeren ön bildirim [yetkili makam]'a verilir. Aynı bilgiler şantiyede görünür bir yere levha olarak asılır. (Yapı İşlerinde Sağlık ve Güvenlik Yönetmeliği Md. 5.c)</w:t>
      </w:r>
    </w:p>
    <w:bookmarkEnd w:id="22"/>
    <w:bookmarkEnd w:id="23"/>
    <w:bookmarkStart w:id="28" w:name="çalışan-sağlığı-eğitimi-ve-kayıtları"/>
    <w:p>
      <w:pPr>
        <w:pStyle w:val="Heading3"/>
      </w:pPr>
      <w:r>
        <w:t xml:space="preserve">2. Çalışan sağlığı, eğitimi ve kayıtları</w:t>
      </w:r>
    </w:p>
    <w:bookmarkStart w:id="24" w:name="özlük-dosyası"/>
    <w:p>
      <w:pPr>
        <w:pStyle w:val="Heading4"/>
      </w:pPr>
      <w:r>
        <w:t xml:space="preserve">Özlük dosyası</w:t>
      </w:r>
    </w:p>
    <w:p>
      <w:pPr>
        <w:pStyle w:val="FirstParagraph"/>
      </w:pPr>
      <w:r>
        <w:t xml:space="preserve">İşveren her çalışan için kimlik bilgileri ile mevzuatın gerektirdiği belge ve kayıtları içeren bir özlük dosyası tutar ve istendiğinde yetkili mercilere gösterir. Çalışan hakkındaki bilgiler dürüstlük kuralına ve hukuka uygun kullanılır; çalışanın gizli kalmasında haklı çıkarı olan bilgiler açıklanmaz. (4857 sayılı İş Kanunu Md. 75) Kişisel veriler, özellikle sağlık verileri, 6698 sayılı KVKK'ya uygun olarak ayrı ve erişimi sınırlı biçimde saklanır (Politika 10 — Kişisel Verilerin Korunması ve Bilgi Güvenliği).</w:t>
      </w:r>
    </w:p>
    <w:bookmarkEnd w:id="24"/>
    <w:bookmarkStart w:id="25" w:name="sağlık-gözetimi"/>
    <w:p>
      <w:pPr>
        <w:pStyle w:val="Heading4"/>
      </w:pPr>
      <w:r>
        <w:t xml:space="preserve">Sağlık gözetimi</w:t>
      </w:r>
    </w:p>
    <w:p>
      <w:pPr>
        <w:pStyle w:val="FirstParagraph"/>
      </w:pPr>
      <w:r>
        <w:t xml:space="preserve">Çalışanların sağlık gözetimi işyeri hekimi tarafından yapılır: işe girişte, iş değişikliğinde, iş kazası, meslek hastalığı veya sağlık nedeniyle tekrarlanan devamsızlık sonrası işe dönüşte talep halinde ve işin devamı süresince düzenli aralıklarla. Çalışan, yapacağı işe sağlık yönünden uygun olduğunu belirten rapor olmadan işe başlatılmaz. Muayene masrafları çalışana yansıtılmaz. (6331 sayılı İSG Kanunu Md. 15)</w:t>
      </w:r>
    </w:p>
    <w:bookmarkEnd w:id="25"/>
    <w:bookmarkStart w:id="26" w:name="tetanos-aşısı"/>
    <w:p>
      <w:pPr>
        <w:pStyle w:val="Heading4"/>
      </w:pPr>
      <w:r>
        <w:t xml:space="preserve">Tetanos aşısı</w:t>
      </w:r>
    </w:p>
    <w:p>
      <w:pPr>
        <w:pStyle w:val="FirstParagraph"/>
      </w:pPr>
      <w:r>
        <w:t xml:space="preserve">İşyeri hekimi, tetanos riski taşıyan işlerde çalışanların aşı durumunu değerlendirir ve gerekli aşılamayı planlar. Kirli, ezik veya toprakla bulaşmış yaralanmalarda tıbbi değerlendirme ve gerekli koruyucu tedavi sağlanır. (6331 Md. 15; İşçi Sağlığı ve İş Güvenliği Tüzüğü Md. 86 — güncelliği teyit edilecek)</w:t>
      </w:r>
    </w:p>
    <w:bookmarkEnd w:id="26"/>
    <w:bookmarkStart w:id="27" w:name="eğitim"/>
    <w:p>
      <w:pPr>
        <w:pStyle w:val="Heading4"/>
      </w:pPr>
      <w:r>
        <w:t xml:space="preserve">Eğitim</w:t>
      </w:r>
    </w:p>
    <w:p>
      <w:pPr>
        <w:pStyle w:val="FirstParagraph"/>
      </w:pPr>
      <w:r>
        <w:t xml:space="preserve">İşveren, alınan önlemlere uyulup uyulmadığını denetler ve çalışanları işlerindeki riskler, alınacak önlemler, yasal hakları ve sorumlulukları konusunda eğitir. Eğitim ücretsizdir ve çalışma saatleri içinde verilir; konu, süre, katılımcılar ve cinsiyet dağılımı kaydedilir. Eğitimin içeriği, süresi ve kimler tarafından verileceği ilgili yönetmelikte düzenlenmiştir. (6331 Md. 17; Çalışanların İş Sağlığı ve Güvenliği Eğitimlerinin Usul ve Esasları Hakkında Yönetmelik Md. 4, 17)</w:t>
      </w:r>
    </w:p>
    <w:bookmarkEnd w:id="27"/>
    <w:bookmarkEnd w:id="28"/>
    <w:bookmarkStart w:id="33" w:name="iş-ekipmanı-ve-kaldırma"/>
    <w:p>
      <w:pPr>
        <w:pStyle w:val="Heading3"/>
      </w:pPr>
      <w:r>
        <w:t xml:space="preserve">3. İş ekipmanı ve kaldırma</w:t>
      </w:r>
    </w:p>
    <w:bookmarkStart w:id="29" w:name="iskelelerin-kontrolü"/>
    <w:p>
      <w:pPr>
        <w:pStyle w:val="Heading4"/>
      </w:pPr>
      <w:r>
        <w:t xml:space="preserve">İskelelerin kontrolü</w:t>
      </w:r>
    </w:p>
    <w:p>
      <w:pPr>
        <w:pStyle w:val="FirstParagraph"/>
      </w:pPr>
      <w:r>
        <w:t xml:space="preserve">İskeleler; kullanıma başlanmadan önce, belirli aralıklarla, üzerinde değişiklik yapıldığında, bir süre kullanılmadığında ve deprem, fırtına, sel gibi sağlamlığını etkileyebilecek olaylardan sonra yetkin kişilerce kontrol edilir ve kontrol kaydı tutulur. (Yapı İşlerinde Sağlık ve Güvenlik Yönetmeliği EK-IV.B Bölüm II Md. 6.3)</w:t>
      </w:r>
    </w:p>
    <w:bookmarkEnd w:id="29"/>
    <w:bookmarkStart w:id="30" w:name="X5613370a1cc0318cf89a9ff0c04ba6103019753"/>
    <w:p>
      <w:pPr>
        <w:pStyle w:val="Heading4"/>
      </w:pPr>
      <w:r>
        <w:t xml:space="preserve">Yük asansörü ve kaldırma araçlarının kontrolü</w:t>
      </w:r>
    </w:p>
    <w:p>
      <w:pPr>
        <w:pStyle w:val="FirstParagraph"/>
      </w:pPr>
      <w:r>
        <w:t xml:space="preserve">Tüm kaldırma araçları ile bağlantı, sabitleme ve destek elemanları dahil yardımcı parçaları, mevzuata göre periyodik kontrol, test ve deneylere tabi tutulur. (EK-IV.B Bölüm II Md. 7.1.d)</w:t>
      </w:r>
    </w:p>
    <w:bookmarkEnd w:id="30"/>
    <w:bookmarkStart w:id="31" w:name="gırgır-vinç-mini-vinç-ve-sınır-durdurucu"/>
    <w:p>
      <w:pPr>
        <w:pStyle w:val="Heading4"/>
      </w:pPr>
      <w:r>
        <w:t xml:space="preserve">Gırgır vinç (mini vinç) ve sınır durdurucu</w:t>
      </w:r>
    </w:p>
    <w:p>
      <w:pPr>
        <w:pStyle w:val="FirstParagraph"/>
      </w:pPr>
      <w:r>
        <w:t xml:space="preserve">Kaldırma araçları ve aksesuarları doğru kurulur ve kullanılır; sınır durdurucu (limit şalteri) çalışır durumda tutulur; ekipman amacı dışında kullanılmaz. (EK-IV.B Bölüm II Md. 7.1.c, 7.3)</w:t>
      </w:r>
    </w:p>
    <w:bookmarkEnd w:id="31"/>
    <w:bookmarkStart w:id="32" w:name="vinç-yükleme-alanı"/>
    <w:p>
      <w:pPr>
        <w:pStyle w:val="Heading4"/>
      </w:pPr>
      <w:r>
        <w:t xml:space="preserve">Vinç yükleme alanı</w:t>
      </w:r>
    </w:p>
    <w:p>
      <w:pPr>
        <w:pStyle w:val="FirstParagraph"/>
      </w:pPr>
      <w:r>
        <w:t xml:space="preserve">Yetkisiz kişilerin yasak bölgelere girişi uygun araçlarla engellenir. Tehlikeli bölgeler belirgin biçimde işaretlenir; buraya girmesine izin verilen çalışanlar için gerekli koruma önlemleri alınır. (EK-IV.A Md. 10.4)</w:t>
      </w:r>
    </w:p>
    <w:bookmarkEnd w:id="32"/>
    <w:bookmarkEnd w:id="33"/>
    <w:bookmarkStart w:id="36" w:name="elektrik"/>
    <w:p>
      <w:pPr>
        <w:pStyle w:val="Heading3"/>
      </w:pPr>
      <w:r>
        <w:t xml:space="preserve">4. Elektrik</w:t>
      </w:r>
    </w:p>
    <w:bookmarkStart w:id="34" w:name="açıktaki-iletkenler"/>
    <w:p>
      <w:pPr>
        <w:pStyle w:val="Heading4"/>
      </w:pPr>
      <w:r>
        <w:t xml:space="preserve">Açıktaki iletkenler</w:t>
      </w:r>
    </w:p>
    <w:p>
      <w:pPr>
        <w:pStyle w:val="FirstParagraph"/>
      </w:pPr>
      <w:r>
        <w:t xml:space="preserve">Şantiyede açıkta iletken bırakılmaz; iletkenler dış etkilere karşı korunur. Enerji dağıtım tesisleri, özellikle dış etkilere açık olanlar, düzenli kontrol edilir ve bakımı yapılır. (EK-IV.B Bölüm II Md. 2.1)</w:t>
      </w:r>
    </w:p>
    <w:bookmarkEnd w:id="34"/>
    <w:bookmarkStart w:id="35" w:name="gövde-topraklaması"/>
    <w:p>
      <w:pPr>
        <w:pStyle w:val="Heading4"/>
      </w:pPr>
      <w:r>
        <w:t xml:space="preserve">Gövde topraklaması</w:t>
      </w:r>
    </w:p>
    <w:p>
      <w:pPr>
        <w:pStyle w:val="FirstParagraph"/>
      </w:pPr>
      <w:r>
        <w:t xml:space="preserve">Çıplak metal kısımları olan elektrikli cihazlar uygun şekilde topraklanır. Tüm iş ekipmanı, çalışanları doğrudan veya dolaylı elektrik temasından koruyacak nitelikte olur. (İş Ekipmanlarının Kullanımında Sağlık ve Güvenlik Şartları Yönetmeliği EK-I Md. 2.19)</w:t>
      </w:r>
    </w:p>
    <w:bookmarkEnd w:id="35"/>
    <w:bookmarkEnd w:id="36"/>
    <w:bookmarkStart w:id="48" w:name="saha-düzeni-ve-erişim"/>
    <w:p>
      <w:pPr>
        <w:pStyle w:val="Heading3"/>
      </w:pPr>
      <w:r>
        <w:t xml:space="preserve">5. Saha düzeni ve erişim</w:t>
      </w:r>
    </w:p>
    <w:bookmarkStart w:id="37" w:name="şantiyenin-çevrilmesi"/>
    <w:p>
      <w:pPr>
        <w:pStyle w:val="Heading4"/>
      </w:pPr>
      <w:r>
        <w:t xml:space="preserve">Şantiyenin çevrilmesi</w:t>
      </w:r>
    </w:p>
    <w:p>
      <w:pPr>
        <w:pStyle w:val="FirstParagraph"/>
      </w:pPr>
      <w:r>
        <w:t xml:space="preserve">Yapı alanının çevresi kolayca görülecek ve fark edilecek şekilde çevrilir ve işaretlenir. (EK-IV.A Md. 18.1)</w:t>
      </w:r>
    </w:p>
    <w:bookmarkEnd w:id="37"/>
    <w:bookmarkStart w:id="38" w:name="uyarı-levhaları"/>
    <w:p>
      <w:pPr>
        <w:pStyle w:val="Heading4"/>
      </w:pPr>
      <w:r>
        <w:t xml:space="preserve">Uyarı levhaları</w:t>
      </w:r>
    </w:p>
    <w:p>
      <w:pPr>
        <w:pStyle w:val="FirstParagraph"/>
      </w:pPr>
      <w:r>
        <w:t xml:space="preserve">Risklerin çalışma yöntemleri, iş organizasyonu veya toplu koruma önlemleriyle giderilemediği ya da yeterince azaltılamadığı yerlerde güvenlik ve sağlık işaretleri bulundurulur ve doğru kullanılır. (Güvenlik ve Sağlık İşaretleri Yönetmeliği Md. 5)</w:t>
      </w:r>
    </w:p>
    <w:bookmarkEnd w:id="38"/>
    <w:bookmarkStart w:id="39" w:name="kat-döşeme-kenarlarında-şerit-işaretleme"/>
    <w:p>
      <w:pPr>
        <w:pStyle w:val="Heading4"/>
      </w:pPr>
      <w:r>
        <w:t xml:space="preserve">Kat döşeme kenarlarında şerit işaretleme</w:t>
      </w:r>
    </w:p>
    <w:p>
      <w:pPr>
        <w:pStyle w:val="FirstParagraph"/>
      </w:pPr>
      <w:r>
        <w:t xml:space="preserve">Çarpma, düşme veya cisim düşmesi tehlikesi olan yerler, birbirini izleyen sarı-siyah veya kırmızı-beyaz şeritlerle işaretlenir. Şeritler yaklaşık 45° açılı ve eşit genişlikte olur; işaretin boyutu tehlikeli bölgenin büyüklüğüyle orantılıdır. (Güvenlik ve Sağlık İşaretleri Yönetmeliği Ek V.1)</w:t>
      </w:r>
    </w:p>
    <w:bookmarkEnd w:id="39"/>
    <w:bookmarkStart w:id="40" w:name="aydınlatma"/>
    <w:p>
      <w:pPr>
        <w:pStyle w:val="Heading4"/>
      </w:pPr>
      <w:r>
        <w:t xml:space="preserve">Aydınlatma</w:t>
      </w:r>
    </w:p>
    <w:p>
      <w:pPr>
        <w:pStyle w:val="FirstParagraph"/>
      </w:pPr>
      <w:r>
        <w:t xml:space="preserve">Çalışma alanları mümkün olduğunca doğal ışıkla aydınlatılır; yetmediği yerde, merdivenler dahil, yeterli yapay aydınlatma sağlanır. (EK-IV.A Md. 8.1)</w:t>
      </w:r>
    </w:p>
    <w:bookmarkEnd w:id="40"/>
    <w:bookmarkStart w:id="41" w:name="geçit-yerleri-merdivenler-ve-rampalar"/>
    <w:p>
      <w:pPr>
        <w:pStyle w:val="Heading4"/>
      </w:pPr>
      <w:r>
        <w:t xml:space="preserve">Geçit yerleri, merdivenler ve rampalar</w:t>
      </w:r>
    </w:p>
    <w:p>
      <w:pPr>
        <w:pStyle w:val="FirstParagraph"/>
      </w:pPr>
      <w:r>
        <w:t xml:space="preserve">Merdivenler, geçici merdivenler, yükleme yerleri ve rampalar dahil tüm trafik yolları kolay ve güvenli geçiş sağlayacak ve yakınında çalışanlara tehlike yaratmayacak şekilde tasarlanır. (EK-IV.A Md. 10.1)</w:t>
      </w:r>
    </w:p>
    <w:bookmarkEnd w:id="41"/>
    <w:bookmarkStart w:id="42" w:name="korkuluklar"/>
    <w:p>
      <w:pPr>
        <w:pStyle w:val="Heading4"/>
      </w:pPr>
      <w:r>
        <w:t xml:space="preserve">Korkuluklar</w:t>
      </w:r>
    </w:p>
    <w:p>
      <w:pPr>
        <w:pStyle w:val="FirstParagraph"/>
      </w:pPr>
      <w:r>
        <w:t xml:space="preserve">Yüksekten düşme öncelikle yeterli yükseklikte sağlam korkuluklarla veya eşdeğer toplu korumayla önlenir. Korkulukta en az üst trabzan, ara korkuluk ve topuk levhası (eteklik) bulunur. (EK-IV.B Bölüm II Md. 5.1)</w:t>
      </w:r>
    </w:p>
    <w:bookmarkEnd w:id="42"/>
    <w:bookmarkStart w:id="43" w:name="tehlikeli-boşluklar"/>
    <w:p>
      <w:pPr>
        <w:pStyle w:val="Heading4"/>
      </w:pPr>
      <w:r>
        <w:t xml:space="preserve">Tehlikeli boşluklar</w:t>
      </w:r>
    </w:p>
    <w:p>
      <w:pPr>
        <w:pStyle w:val="FirstParagraph"/>
      </w:pPr>
      <w:r>
        <w:t xml:space="preserve">Çalışma tabanları sabit, sağlam ve kaymaz olur; tehlikeli engel, çukur veya eğim bulunmaz. Asansör ve benzeri boşluklar korkuluk, kapak veya ağ ile kapatılır. (EK-IV.B Bölüm I Md. 6.1)</w:t>
      </w:r>
    </w:p>
    <w:bookmarkEnd w:id="43"/>
    <w:bookmarkStart w:id="44" w:name="düşen-cisimlere-karşı-önlem"/>
    <w:p>
      <w:pPr>
        <w:pStyle w:val="Heading4"/>
      </w:pPr>
      <w:r>
        <w:t xml:space="preserve">Düşen cisimlere karşı önlem</w:t>
      </w:r>
    </w:p>
    <w:p>
      <w:pPr>
        <w:pStyle w:val="FirstParagraph"/>
      </w:pPr>
      <w:r>
        <w:t xml:space="preserve">Yukarıdan malzeme düşme riski olan bölgelere giriş engellenir; bina girişlerine üstü kapalı korunaklı geçitler yapılır. (EK-IV.B Bölüm II Md. 4)</w:t>
      </w:r>
    </w:p>
    <w:bookmarkEnd w:id="44"/>
    <w:bookmarkStart w:id="45" w:name="kazı-işleri"/>
    <w:p>
      <w:pPr>
        <w:pStyle w:val="Heading4"/>
      </w:pPr>
      <w:r>
        <w:t xml:space="preserve">Kazı işleri</w:t>
      </w:r>
    </w:p>
    <w:p>
      <w:pPr>
        <w:numPr>
          <w:ilvl w:val="0"/>
          <w:numId w:val="1002"/>
        </w:numPr>
        <w:pStyle w:val="Compact"/>
      </w:pPr>
      <w:r>
        <w:t xml:space="preserve">Kazı, kuyu, yeraltı, tünel ve kanal çalışmalarında: uygun iksa ve destekler kullanılır; malzeme düşmesi, su baskını ve insan düşmesine karşı önlem alınır; tüm çalışma yerlerinde solunabilir hava için yeterli havalandırma sağlanır; yangın, su baskını veya göçükte çalışanların güvenli yere ulaşması sağlanır.</w:t>
      </w:r>
    </w:p>
    <w:p>
      <w:pPr>
        <w:numPr>
          <w:ilvl w:val="0"/>
          <w:numId w:val="1002"/>
        </w:numPr>
        <w:pStyle w:val="Compact"/>
      </w:pPr>
      <w:r>
        <w:t xml:space="preserve">Kazıdan önce yeraltı kabloları ve diğer hatlar belirlenir ve bunlardan doğabilecek tehlikeler en aza indirilir.</w:t>
      </w:r>
    </w:p>
    <w:p>
      <w:pPr>
        <w:numPr>
          <w:ilvl w:val="0"/>
          <w:numId w:val="1002"/>
        </w:numPr>
        <w:pStyle w:val="Compact"/>
      </w:pPr>
      <w:r>
        <w:t xml:space="preserve">Kazıya güvenli giriş ve çıkış yolları sağlanır.</w:t>
      </w:r>
    </w:p>
    <w:p>
      <w:pPr>
        <w:numPr>
          <w:ilvl w:val="0"/>
          <w:numId w:val="1002"/>
        </w:numPr>
        <w:pStyle w:val="Compact"/>
      </w:pPr>
      <w:r>
        <w:t xml:space="preserve">Toprak ve malzeme yığınları ile hareketli araçlar kazı kenarından uzak tutulur; gerekiyorsa bariyer yapılır.</w:t>
      </w:r>
    </w:p>
    <w:p>
      <w:pPr>
        <w:pStyle w:val="FirstParagraph"/>
      </w:pPr>
      <w:r>
        <w:t xml:space="preserve">(EK-IV.B Bölüm II Md. 10)</w:t>
      </w:r>
    </w:p>
    <w:bookmarkEnd w:id="45"/>
    <w:bookmarkStart w:id="46" w:name="atık-malzemeler-ve-düzen"/>
    <w:p>
      <w:pPr>
        <w:pStyle w:val="Heading4"/>
      </w:pPr>
      <w:r>
        <w:t xml:space="preserve">Atık malzemeler ve düzen</w:t>
      </w:r>
    </w:p>
    <w:p>
      <w:pPr>
        <w:pStyle w:val="FirstParagraph"/>
      </w:pPr>
      <w:r>
        <w:t xml:space="preserve">Şantiye düzenli ve temiz tutulur; atıklar ayrıştırılarak belirlenen alanlarda toplanır ve düzenli olarak uzaklaştırılır (bkz. Politika 1 — Çevre). (Yapı İşlerinde Sağlık ve Güvenlik Yönetmeliği Md. 10.a)</w:t>
      </w:r>
    </w:p>
    <w:bookmarkEnd w:id="46"/>
    <w:bookmarkStart w:id="47" w:name="soyunma-yeri-tuvalet-ve-lavabo"/>
    <w:p>
      <w:pPr>
        <w:pStyle w:val="Heading4"/>
      </w:pPr>
      <w:r>
        <w:t xml:space="preserve">Soyunma yeri, tuvalet ve lavabo</w:t>
      </w:r>
    </w:p>
    <w:p>
      <w:pPr>
        <w:pStyle w:val="FirstParagraph"/>
      </w:pPr>
      <w:r>
        <w:t xml:space="preserve">İş elbisesi giyen çalışanlar için kolay ulaşılır, yeterli kapasitede, oturma yeri olan ve mahremiyeti koruyan soyunma yerleri sağlanır. Çalışma, dinlenme, yıkanma ve soyunma yerlerinin yakınında yeterli sayıda tuvalet, lavabo ve temizlik malzemesi bulunur; kadın ve erkek çalışanlar için ayrı olur veya ayrı kullanım düzenlenir. (EK-IV.A Md. 14)</w:t>
      </w:r>
    </w:p>
    <w:bookmarkEnd w:id="47"/>
    <w:bookmarkEnd w:id="48"/>
    <w:bookmarkStart w:id="51" w:name="ilk-yardım-ve-acil-durum"/>
    <w:p>
      <w:pPr>
        <w:pStyle w:val="Heading3"/>
      </w:pPr>
      <w:r>
        <w:t xml:space="preserve">6. İlk yardım ve acil durum</w:t>
      </w:r>
    </w:p>
    <w:bookmarkStart w:id="49" w:name="ilk-yardım-malzemesi-ve-sedye"/>
    <w:p>
      <w:pPr>
        <w:pStyle w:val="Heading4"/>
      </w:pPr>
      <w:r>
        <w:t xml:space="preserve">İlk yardım malzemesi ve sedye</w:t>
      </w:r>
    </w:p>
    <w:p>
      <w:pPr>
        <w:pStyle w:val="FirstParagraph"/>
      </w:pPr>
      <w:r>
        <w:t xml:space="preserve">Şantiyede yeterli ilk yardım malzemesi ve seyyar sedye bulundurulur. İlk yardım odaları yeterli malzeme ve ekipmanla donatılır, sedyeler kullanıma hazır tutulur ve mevzuata uygun işaretlenir. (EK-IV.A Md. 13.3)</w:t>
      </w:r>
    </w:p>
    <w:bookmarkEnd w:id="49"/>
    <w:bookmarkStart w:id="50" w:name="ilk-yardım-ve-acil-telefon-listesi"/>
    <w:p>
      <w:pPr>
        <w:pStyle w:val="Heading4"/>
      </w:pPr>
      <w:r>
        <w:t xml:space="preserve">İlk yardım ve acil telefon listesi</w:t>
      </w:r>
    </w:p>
    <w:p>
      <w:pPr>
        <w:pStyle w:val="FirstParagraph"/>
      </w:pPr>
      <w:r>
        <w:t xml:space="preserve">Çalışma koşullarının gerektirdiği her yerde kolay erişilebilir ve işaretli ilk yardım ekipmanı bulunur. 112 Acil Çağrı ile en yakın sağlık kuruluşunun adres ve telefonları görünür yerlere asılır. (EK-IV.A Md. 13.4)</w:t>
      </w:r>
    </w:p>
    <w:bookmarkEnd w:id="50"/>
    <w:bookmarkEnd w:id="51"/>
    <w:bookmarkStart w:id="52" w:name="kişisel-koruyucu-donanım"/>
    <w:p>
      <w:pPr>
        <w:pStyle w:val="Heading3"/>
      </w:pPr>
      <w:r>
        <w:t xml:space="preserve">7. Kişisel koruyucu donanım</w:t>
      </w:r>
    </w:p>
    <w:p>
      <w:pPr>
        <w:pStyle w:val="FirstParagraph"/>
      </w:pPr>
      <w:r>
        <w:t xml:space="preserve">KKD, toplu koruma önlemlerinin yetmediği yerde kullanılır. İşveren uygun KKD'yi ücretsiz verir, doğru kullanım için eğitim ve talimat sağlar, KKD'nin her zaman çalışır, temiz ve bakımlı olmasını ve gerektiğinde yenilenmesini güvence altına alır. Çalışanlar KKD'yi aldıkları eğitime uygun kullanır ve fark ettikleri arıza veya eksikliği hemen bildirir. (Kişisel Koruyucu Donanımların İşyerlerinde Kullanılması Hakkında Yönetmelik Md. 8)</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KKD türü</w:t>
            </w:r>
          </w:p>
        </w:tc>
        <w:tc>
          <w:tcPr/>
          <w:p>
            <w:pPr>
              <w:pStyle w:val="Compact"/>
              <w:jc w:val="left"/>
            </w:pPr>
            <w:r>
              <w:rPr>
                <w:b/>
              </w:rPr>
              <w:t xml:space="preserve">Ne zaman gerekli</w:t>
            </w:r>
          </w:p>
        </w:tc>
        <w:tc>
          <w:tcPr/>
          <w:p>
            <w:pPr>
              <w:pStyle w:val="Compact"/>
              <w:jc w:val="left"/>
            </w:pPr>
            <w:r>
              <w:rPr>
                <w:b/>
              </w:rPr>
              <w:t xml:space="preserve">Mevzuat</w:t>
            </w:r>
          </w:p>
        </w:tc>
      </w:tr>
      <w:tr>
        <w:tc>
          <w:tcPr/>
          <w:p>
            <w:pPr>
              <w:pStyle w:val="Compact"/>
              <w:jc w:val="left"/>
            </w:pPr>
            <w:r>
              <w:t xml:space="preserve">Baret</w:t>
            </w:r>
          </w:p>
        </w:tc>
        <w:tc>
          <w:tcPr/>
          <w:p>
            <w:pPr>
              <w:pStyle w:val="Compact"/>
              <w:jc w:val="left"/>
            </w:pPr>
            <w:r>
              <w:t xml:space="preserve">Şantiyede her zaman</w:t>
            </w:r>
          </w:p>
        </w:tc>
        <w:tc>
          <w:tcPr/>
          <w:p>
            <w:pPr>
              <w:pStyle w:val="Compact"/>
              <w:jc w:val="left"/>
            </w:pPr>
            <w:r>
              <w:t xml:space="preserve">KKD Yönetmeliği Ek-III-1</w:t>
            </w:r>
          </w:p>
        </w:tc>
      </w:tr>
      <w:tr>
        <w:tc>
          <w:tcPr/>
          <w:p>
            <w:pPr>
              <w:pStyle w:val="Compact"/>
              <w:jc w:val="left"/>
            </w:pPr>
            <w:r>
              <w:t xml:space="preserve">Koruyucu gözlük, yüz siperi</w:t>
            </w:r>
          </w:p>
        </w:tc>
        <w:tc>
          <w:tcPr/>
          <w:p>
            <w:pPr>
              <w:pStyle w:val="Compact"/>
              <w:jc w:val="left"/>
            </w:pPr>
            <w:r>
              <w:t xml:space="preserve">Kaynak, taşlama ve kesme; kalafatlama ve keskiyle yontma; taş yontma; cıvatalama; talaşlı imalat ve talaş toplama; sıcak demir presleme; atık parçalama; aşındırıcı püskürtme; asit, baz, dezenfektan ve aşındırıcı temizlik maddeleri; sıvı sprey; ergimiş madde; radyant ısı; lazer</w:t>
            </w:r>
          </w:p>
        </w:tc>
        <w:tc>
          <w:tcPr/>
          <w:p>
            <w:pPr>
              <w:pStyle w:val="Compact"/>
              <w:jc w:val="left"/>
            </w:pPr>
            <w:r>
              <w:t xml:space="preserve">KKD Yönetmeliği Ek-III-3</w:t>
            </w:r>
          </w:p>
        </w:tc>
      </w:tr>
      <w:tr>
        <w:tc>
          <w:tcPr/>
          <w:p>
            <w:pPr>
              <w:pStyle w:val="Compact"/>
              <w:jc w:val="left"/>
            </w:pPr>
            <w:r>
              <w:t xml:space="preserve">Tam vücut emniyet kemeri ve ankraj</w:t>
            </w:r>
          </w:p>
        </w:tc>
        <w:tc>
          <w:tcPr/>
          <w:p>
            <w:pPr>
              <w:pStyle w:val="Compact"/>
              <w:jc w:val="left"/>
            </w:pPr>
            <w:r>
              <w:t xml:space="preserve">Toplu korumanın olmadığı, yüksekten düşme tehlikesi olan yerler</w:t>
            </w:r>
          </w:p>
        </w:tc>
        <w:tc>
          <w:tcPr/>
          <w:p>
            <w:pPr>
              <w:pStyle w:val="Compact"/>
              <w:jc w:val="left"/>
            </w:pPr>
            <w:r>
              <w:t xml:space="preserve">KKD Yönetmeliği Ek-III-9</w:t>
            </w:r>
          </w:p>
        </w:tc>
      </w:tr>
      <w:tr>
        <w:tc>
          <w:tcPr/>
          <w:p>
            <w:pPr>
              <w:pStyle w:val="Compact"/>
              <w:jc w:val="left"/>
            </w:pPr>
            <w:r>
              <w:t xml:space="preserve">Koruyucu ayakkabı</w:t>
            </w:r>
          </w:p>
        </w:tc>
        <w:tc>
          <w:tcPr/>
          <w:p>
            <w:pPr>
              <w:pStyle w:val="Compact"/>
              <w:jc w:val="left"/>
            </w:pPr>
            <w:r>
              <w:t xml:space="preserve">Şantiyede her zaman</w:t>
            </w:r>
          </w:p>
        </w:tc>
        <w:tc>
          <w:tcPr/>
          <w:p>
            <w:pPr>
              <w:pStyle w:val="Compact"/>
              <w:jc w:val="left"/>
            </w:pPr>
            <w:r>
              <w:t xml:space="preserve">KKD Yönetmeliği Ek-III ([madde teyit edilecek])</w:t>
            </w:r>
          </w:p>
        </w:tc>
      </w:tr>
      <w:tr>
        <w:tc>
          <w:tcPr/>
          <w:p>
            <w:pPr>
              <w:pStyle w:val="Compact"/>
              <w:jc w:val="left"/>
            </w:pPr>
            <w:r>
              <w:t xml:space="preserve">Eldiven</w:t>
            </w:r>
          </w:p>
        </w:tc>
        <w:tc>
          <w:tcPr/>
          <w:p>
            <w:pPr>
              <w:pStyle w:val="Compact"/>
              <w:jc w:val="left"/>
            </w:pPr>
            <w:r>
              <w:t xml:space="preserve">Malzeme taşıma, keskin kenar, kimyasal veya sıcak malzeme</w:t>
            </w:r>
          </w:p>
        </w:tc>
        <w:tc>
          <w:tcPr/>
          <w:p>
            <w:pPr>
              <w:pStyle w:val="Compact"/>
              <w:jc w:val="left"/>
            </w:pPr>
            <w:r>
              <w:t xml:space="preserve">KKD Yönetmeliği Ek-III ([madde teyit edilecek])</w:t>
            </w:r>
          </w:p>
        </w:tc>
      </w:tr>
      <w:tr>
        <w:tc>
          <w:tcPr/>
          <w:p>
            <w:pPr>
              <w:pStyle w:val="Compact"/>
              <w:jc w:val="left"/>
            </w:pPr>
            <w:r>
              <w:t xml:space="preserve">Yüksek görünürlüklü yelek</w:t>
            </w:r>
          </w:p>
        </w:tc>
        <w:tc>
          <w:tcPr/>
          <w:p>
            <w:pPr>
              <w:pStyle w:val="Compact"/>
              <w:jc w:val="left"/>
            </w:pPr>
            <w:r>
              <w:t xml:space="preserve">Araç ve iş makinesi trafiği olan alanlar</w:t>
            </w:r>
          </w:p>
        </w:tc>
        <w:tc>
          <w:tcPr/>
          <w:p>
            <w:pPr>
              <w:pStyle w:val="Compact"/>
              <w:jc w:val="left"/>
            </w:pPr>
            <w:r>
              <w:t xml:space="preserve">KKD Yönetmeliği Ek-III ([madde teyit edilecek])</w:t>
            </w:r>
          </w:p>
        </w:tc>
      </w:tr>
    </w:tbl>
    <w:p>
      <w:pPr>
        <w:pStyle w:val="BodyText"/>
      </w:pPr>
      <w:r>
        <w:t xml:space="preserve">Bu talimat çalışana okunmuş ve açıklanmıştır; çalışan sorularını sorma ve talimatın bir kopyasını alma imkânı bulmuştur.</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Tebliğ Eden</w:t>
            </w:r>
          </w:p>
        </w:tc>
        <w:tc>
          <w:tcPr/>
          <w:p>
            <w:pPr>
              <w:pStyle w:val="Compact"/>
              <w:jc w:val="left"/>
            </w:pPr>
            <w:r>
              <w:rPr>
                <w:b/>
              </w:rPr>
              <w:t xml:space="preserve">Tebellüğ Eden</w:t>
            </w:r>
          </w:p>
        </w:tc>
      </w:tr>
      <w:tr>
        <w:tc>
          <w:tcPr/>
          <w:p>
            <w:pPr>
              <w:pStyle w:val="Compact"/>
              <w:jc w:val="left"/>
            </w:pPr>
            <w:r>
              <w:t xml:space="preserve">Adı Soyadı</w:t>
            </w:r>
          </w:p>
        </w:tc>
        <w:tc>
          <w:tcPr/>
          <w:p>
            <w:pPr>
              <w:pStyle w:val="Compact"/>
            </w:pPr>
          </w:p>
        </w:tc>
        <w:tc>
          <w:tcPr/>
          <w:p>
            <w:pPr>
              <w:pStyle w:val="Compact"/>
            </w:pPr>
          </w:p>
        </w:tc>
      </w:tr>
      <w:tr>
        <w:tc>
          <w:tcPr/>
          <w:p>
            <w:pPr>
              <w:pStyle w:val="Compact"/>
              <w:jc w:val="left"/>
            </w:pPr>
            <w:r>
              <w:t xml:space="preserve">Unvanı</w:t>
            </w:r>
          </w:p>
        </w:tc>
        <w:tc>
          <w:tcPr/>
          <w:p>
            <w:pPr>
              <w:pStyle w:val="Compact"/>
            </w:pPr>
          </w:p>
        </w:tc>
        <w:tc>
          <w:tcPr/>
          <w:p>
            <w:pPr>
              <w:pStyle w:val="Compact"/>
            </w:pPr>
          </w:p>
        </w:tc>
      </w:tr>
      <w:tr>
        <w:tc>
          <w:tcPr/>
          <w:p>
            <w:pPr>
              <w:pStyle w:val="Compact"/>
              <w:jc w:val="left"/>
            </w:pPr>
            <w:r>
              <w:t xml:space="preserve">Tarih</w:t>
            </w:r>
          </w:p>
        </w:tc>
        <w:tc>
          <w:tcPr/>
          <w:p>
            <w:pPr>
              <w:pStyle w:val="Compact"/>
            </w:pPr>
          </w:p>
        </w:tc>
        <w:tc>
          <w:tcPr/>
          <w:p>
            <w:pPr>
              <w:pStyle w:val="Compact"/>
            </w:pPr>
          </w:p>
        </w:tc>
      </w:tr>
      <w:tr>
        <w:tc>
          <w:tcPr/>
          <w:p>
            <w:pPr>
              <w:pStyle w:val="Compact"/>
              <w:jc w:val="left"/>
            </w:pPr>
            <w:r>
              <w:t xml:space="preserve">İmza</w:t>
            </w:r>
          </w:p>
        </w:tc>
        <w:tc>
          <w:tcPr/>
          <w:p>
            <w:pPr>
              <w:pStyle w:val="Compact"/>
            </w:pPr>
          </w:p>
        </w:tc>
        <w:tc>
          <w:tcPr/>
          <w:p>
            <w:pPr>
              <w:pStyle w:val="Compact"/>
            </w:pPr>
          </w:p>
        </w:tc>
      </w:tr>
    </w:tbl>
    <w:p>
      <w:pPr>
        <w:pStyle w:val="BodyText"/>
      </w:pPr>
      <w:r>
        <w:t xml:space="preserve">Onaylayan: Sabri Paşayiğit, Kurucu Ortak / Genel Müdür</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İnşaat İşlerinde İş Sağlığı ve Güvenliği Önlemleri</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