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Manager</w:t>
      </w:r>
      <w:r>
        <w:t xml:space="preserve"> </w:t>
      </w:r>
      <w:r>
        <w:t xml:space="preserve">and</w:t>
      </w:r>
      <w:r>
        <w:t xml:space="preserve"> </w:t>
      </w:r>
      <w:r>
        <w:t xml:space="preserve">Employer's</w:t>
      </w:r>
      <w:r>
        <w:t xml:space="preserve"> </w:t>
      </w:r>
      <w:r>
        <w:t xml:space="preserve">Representative</w:t>
      </w:r>
      <w:r>
        <w:t xml:space="preserve"> </w:t>
      </w:r>
      <w:r>
        <w:t xml:space="preserve">OHS</w:t>
      </w:r>
      <w:r>
        <w:t xml:space="preserve"> </w:t>
      </w:r>
      <w:r>
        <w:t xml:space="preserve">Undertaking</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Draft</w:t>
      </w:r>
      <w:r>
        <w:t xml:space="preserve"> </w:t>
      </w:r>
      <w:r>
        <w:t xml:space="preserve">1.0</w:t>
      </w:r>
      <w:r>
        <w:t xml:space="preserve"> </w:t>
      </w:r>
      <w:r>
        <w:t xml:space="preserve">·</w:t>
      </w:r>
      <w:r>
        <w:t xml:space="preserve"> </w:t>
      </w:r>
      <w:r>
        <w:t xml:space="preserve">October</w:t>
      </w:r>
      <w:r>
        <w:t xml:space="preserve"> </w:t>
      </w:r>
      <w:r>
        <w:t xml:space="preserve">2026</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jc w:val="left"/>
            </w:pPr>
            <w:r>
              <w:rPr>
                <w:b/>
              </w:rPr>
              <w:t xml:space="preserve">Doc. No</w:t>
            </w:r>
          </w:p>
        </w:tc>
        <w:tc>
          <w:tcPr/>
          <w:p>
            <w:pPr>
              <w:pStyle w:val="Compact"/>
              <w:jc w:val="left"/>
            </w:pPr>
            <w:r>
              <w:rPr>
                <w:b/>
              </w:rPr>
              <w:t xml:space="preserve">Issue Date</w:t>
            </w:r>
          </w:p>
        </w:tc>
        <w:tc>
          <w:tcPr/>
          <w:p>
            <w:pPr>
              <w:pStyle w:val="Compact"/>
              <w:jc w:val="left"/>
            </w:pPr>
            <w:r>
              <w:rPr>
                <w:b/>
              </w:rPr>
              <w:t xml:space="preserve">Rev. No</w:t>
            </w:r>
          </w:p>
        </w:tc>
      </w:tr>
      <w:tr>
        <w:tc>
          <w:tcPr/>
          <w:p>
            <w:pPr>
              <w:pStyle w:val="Compact"/>
              <w:jc w:val="left"/>
            </w:pPr>
            <w:r>
              <w:t xml:space="preserve">05112</w:t>
            </w:r>
          </w:p>
        </w:tc>
        <w:tc>
          <w:tcPr/>
          <w:p>
            <w:pPr>
              <w:pStyle w:val="Compact"/>
              <w:jc w:val="left"/>
            </w:pPr>
            <w:r>
              <w:t xml:space="preserve">[dd.mm.yyyy]</w:t>
            </w:r>
          </w:p>
        </w:tc>
        <w:tc>
          <w:tcPr/>
          <w:p>
            <w:pPr>
              <w:pStyle w:val="Compact"/>
              <w:jc w:val="left"/>
            </w:pPr>
            <w:r>
              <w:t xml:space="preserve">[02]</w:t>
            </w:r>
          </w:p>
        </w:tc>
      </w:tr>
    </w:tbl>
    <w:bookmarkStart w:id="20" w:name="purpose"/>
    <w:p>
      <w:pPr>
        <w:pStyle w:val="Heading3"/>
      </w:pPr>
      <w:r>
        <w:t xml:space="preserve">Purpose</w:t>
      </w:r>
    </w:p>
    <w:p>
      <w:pPr>
        <w:pStyle w:val="FirstParagraph"/>
      </w:pPr>
      <w:r>
        <w:t xml:space="preserve">REM Mimarlık Dekorasyon Restorasyon Proje ve Taahhüt Hizmetleri Ltd. Şti. ("SP Architects") treats occupational health and safety on its projects as a management-level responsibility and extends that approach through its supply chain. This undertaking sets out the OHS duties of sub-contractor managers and employer's representatives. A safe and healthy working environment is an ILO fundamental right at work (ILO Conventions No. 155 and No. 187) and part of our commitment to Principles 1–6 of the UN Global Compact. The document implements Policy 7 — Health, Safety and Wellbeing and Policy 8 — Supplier and Sub-consultant Code of Conduct.</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Field</w:t>
            </w:r>
          </w:p>
        </w:tc>
        <w:tc>
          <w:tcPr/>
          <w:p>
            <w:pPr>
              <w:pStyle w:val="Compact"/>
              <w:jc w:val="left"/>
            </w:pPr>
            <w:r>
              <w:rPr>
                <w:b/>
              </w:rPr>
              <w:t xml:space="preserve">Details</w:t>
            </w:r>
          </w:p>
        </w:tc>
      </w:tr>
      <w:tr>
        <w:tc>
          <w:tcPr/>
          <w:p>
            <w:pPr>
              <w:pStyle w:val="Compact"/>
              <w:jc w:val="left"/>
            </w:pPr>
            <w:r>
              <w:t xml:space="preserve">Company</w:t>
            </w:r>
          </w:p>
        </w:tc>
        <w:tc>
          <w:tcPr/>
          <w:p>
            <w:pPr>
              <w:pStyle w:val="Compact"/>
            </w:pPr>
          </w:p>
        </w:tc>
      </w:tr>
      <w:tr>
        <w:tc>
          <w:tcPr/>
          <w:p>
            <w:pPr>
              <w:pStyle w:val="Compact"/>
              <w:jc w:val="left"/>
            </w:pPr>
            <w:r>
              <w:t xml:space="preserve">Project / site</w:t>
            </w:r>
          </w:p>
        </w:tc>
        <w:tc>
          <w:tcPr/>
          <w:p>
            <w:pPr>
              <w:pStyle w:val="Compact"/>
              <w:jc w:val="left"/>
            </w:pPr>
            <w:r>
              <w:t xml:space="preserve">[Project name]</w:t>
            </w:r>
          </w:p>
        </w:tc>
      </w:tr>
      <w:tr>
        <w:tc>
          <w:tcPr/>
          <w:p>
            <w:pPr>
              <w:pStyle w:val="Compact"/>
              <w:jc w:val="left"/>
            </w:pPr>
            <w:r>
              <w:t xml:space="preserve">Scope of work</w:t>
            </w:r>
          </w:p>
        </w:tc>
        <w:tc>
          <w:tcPr/>
          <w:p>
            <w:pPr>
              <w:pStyle w:val="Compact"/>
            </w:pPr>
          </w:p>
        </w:tc>
      </w:tr>
      <w:tr>
        <w:tc>
          <w:tcPr/>
          <w:p>
            <w:pPr>
              <w:pStyle w:val="Compact"/>
              <w:jc w:val="left"/>
            </w:pPr>
            <w:r>
              <w:t xml:space="preserve">Full name</w:t>
            </w:r>
          </w:p>
        </w:tc>
        <w:tc>
          <w:tcPr/>
          <w:p>
            <w:pPr>
              <w:pStyle w:val="Compact"/>
            </w:pPr>
          </w:p>
        </w:tc>
      </w:tr>
      <w:tr>
        <w:tc>
          <w:tcPr/>
          <w:p>
            <w:pPr>
              <w:pStyle w:val="Compact"/>
              <w:jc w:val="left"/>
            </w:pPr>
            <w:r>
              <w:t xml:space="preserve">Role</w:t>
            </w:r>
          </w:p>
        </w:tc>
        <w:tc>
          <w:tcPr/>
          <w:p>
            <w:pPr>
              <w:pStyle w:val="Compact"/>
            </w:pPr>
          </w:p>
        </w:tc>
      </w:tr>
      <w:tr>
        <w:tc>
          <w:tcPr/>
          <w:p>
            <w:pPr>
              <w:pStyle w:val="Compact"/>
              <w:jc w:val="left"/>
            </w:pPr>
            <w:r>
              <w:t xml:space="preserve">Scope of representation (team / area managed)</w:t>
            </w:r>
          </w:p>
        </w:tc>
        <w:tc>
          <w:tcPr/>
          <w:p>
            <w:pPr>
              <w:pStyle w:val="Compact"/>
            </w:pPr>
          </w:p>
        </w:tc>
      </w:tr>
    </w:tbl>
    <w:bookmarkEnd w:id="20"/>
    <w:bookmarkStart w:id="21" w:name="legal-framework-summary"/>
    <w:p>
      <w:pPr>
        <w:pStyle w:val="Heading3"/>
      </w:pPr>
      <w:r>
        <w:t xml:space="preserve">Legal framework (summary)</w:t>
      </w:r>
    </w:p>
    <w:p>
      <w:pPr>
        <w:numPr>
          <w:ilvl w:val="0"/>
          <w:numId w:val="1001"/>
        </w:numPr>
        <w:pStyle w:val="Compact"/>
      </w:pPr>
      <w:r>
        <w:rPr>
          <w:bCs/>
          <w:b/>
        </w:rPr>
        <w:t xml:space="preserve">Scope (Law No. 6331, Art. 2):</w:t>
      </w:r>
      <w:r>
        <w:t xml:space="preserve"> </w:t>
      </w:r>
      <w:r>
        <w:t xml:space="preserve">the Occupational Health and Safety Law No. 6331 (6331 sayılı İş Sağlığı ve Güvenliği Kanunu) applies to all work and workplaces in the public and private sectors, to their employers and employer's representatives, and to all workers.</w:t>
      </w:r>
    </w:p>
    <w:p>
      <w:pPr>
        <w:numPr>
          <w:ilvl w:val="0"/>
          <w:numId w:val="1001"/>
        </w:numPr>
        <w:pStyle w:val="Compact"/>
      </w:pPr>
      <w:r>
        <w:rPr>
          <w:bCs/>
          <w:b/>
        </w:rPr>
        <w:t xml:space="preserve">Employer's representative (Art. 3):</w:t>
      </w:r>
      <w:r>
        <w:t xml:space="preserve"> </w:t>
      </w:r>
      <w:r>
        <w:t xml:space="preserve">a person who acts on behalf of the employer and takes part in managing the work and the workplace is an employer's representative (işveren vekili) and is treated as the employer for the purposes of the Law (Art. 3, paragraph 2).</w:t>
      </w:r>
    </w:p>
    <w:p>
      <w:pPr>
        <w:numPr>
          <w:ilvl w:val="0"/>
          <w:numId w:val="1001"/>
        </w:numPr>
        <w:pStyle w:val="Compact"/>
      </w:pPr>
      <w:r>
        <w:rPr>
          <w:bCs/>
          <w:b/>
        </w:rPr>
        <w:t xml:space="preserve">Employer's general duty (Art. 4):</w:t>
      </w:r>
      <w:r>
        <w:t xml:space="preserve"> </w:t>
      </w:r>
      <w:r>
        <w:t xml:space="preserve">the employer ensures workers' health and safety: preventing risks, providing training and information and the necessary equipment, monitoring compliance, carrying out risk assessment, taking account of fitness for work when assigning tasks, and keeping unauthorised people out of hazardous areas. Using outside services and workers' own duties do not reduce the employer's responsibility, and OHS costs may not be passed on to workers.</w:t>
      </w:r>
    </w:p>
    <w:p>
      <w:pPr>
        <w:numPr>
          <w:ilvl w:val="0"/>
          <w:numId w:val="1001"/>
        </w:numPr>
        <w:pStyle w:val="Compact"/>
      </w:pPr>
      <w:r>
        <w:rPr>
          <w:bCs/>
          <w:b/>
        </w:rPr>
        <w:t xml:space="preserve">Training (Art. 17):</w:t>
      </w:r>
      <w:r>
        <w:t xml:space="preserve"> </w:t>
      </w:r>
      <w:r>
        <w:t xml:space="preserve">the employer ensures that workers receive OHS training.</w:t>
      </w:r>
    </w:p>
    <w:bookmarkEnd w:id="21"/>
    <w:bookmarkStart w:id="22" w:name="sharing-responsibility"/>
    <w:p>
      <w:pPr>
        <w:pStyle w:val="Heading3"/>
      </w:pPr>
      <w:r>
        <w:t xml:space="preserve">Sharing responsibility</w:t>
      </w:r>
    </w:p>
    <w:p>
      <w:pPr>
        <w:pStyle w:val="FirstParagraph"/>
      </w:pPr>
      <w:r>
        <w:t xml:space="preserve">This undertaking defines the management responsibility of the signatory within their area. Signing it does not remove or transfer to the signatory the duties that SP Architects (as principal employer) and the sub-contractor (as employer of its own workers) each hold under Law No. 6331 (Art. 4(2) and (3)). SP Architects shares risk information with sub-contractor managers, holds coordination meetings and monitors practice on site.</w:t>
      </w:r>
    </w:p>
    <w:bookmarkEnd w:id="22"/>
    <w:bookmarkStart w:id="23" w:name="my-commitments"/>
    <w:p>
      <w:pPr>
        <w:pStyle w:val="Heading3"/>
      </w:pPr>
      <w:r>
        <w:t xml:space="preserve">My commitments</w:t>
      </w:r>
    </w:p>
    <w:p>
      <w:pPr>
        <w:pStyle w:val="FirstParagraph"/>
      </w:pPr>
      <w:r>
        <w:t xml:space="preserve">For the work within my area:</w:t>
      </w:r>
      <w:r>
        <w:t xml:space="preserve"> </w:t>
      </w:r>
      <w:r>
        <w:t xml:space="preserve">1. Before any work starts, I will ensure a risk assessment is carried out or updated, that workers take part in it, and that the signed results are sent to SP Architects (Arts. 10 and 18).</w:t>
      </w:r>
      <w:r>
        <w:t xml:space="preserve"> </w:t>
      </w:r>
      <w:r>
        <w:t xml:space="preserve">2. I will provide, free of charge, all the PPE the risk assessment requires (helmets, harnesses, safety footwear, work clothing and any other items), make sure it is used and check regularly that it remains adequate. I will wear a harness myself when working at height and make sure workers do the same.</w:t>
      </w:r>
      <w:r>
        <w:t xml:space="preserve"> </w:t>
      </w:r>
      <w:r>
        <w:t xml:space="preserve">3. When I find, or a worker reports, a dangerous situation, I will stop the work and not restart it until the necessary controls are in place.</w:t>
      </w:r>
      <w:r>
        <w:t xml:space="preserve"> </w:t>
      </w:r>
      <w:r>
        <w:t xml:space="preserve">4. I will respect workers' right to refuse work in serious and imminent danger (Art. 13) and will not allow anyone who uses that right or raises a concern to suffer retaliation.</w:t>
      </w:r>
      <w:r>
        <w:t xml:space="preserve"> </w:t>
      </w:r>
      <w:r>
        <w:t xml:space="preserve">5. I will immediately report, or make sure my team reports, all work accidents, occupational diseases and non-conformities, including near misses, to the OHS specialist and to SP Architects. Reports will be used for root cause analysis and improvement, not blame. I will promptly provide the information the employer needs to notify the Social Security Institution (SGK) of a work accident within 3 working days (Art. 14).</w:t>
      </w:r>
      <w:r>
        <w:t xml:space="preserve"> </w:t>
      </w:r>
      <w:r>
        <w:t xml:space="preserve">6. I will make sure everyone in my team receives OHS training before starting work, keep training records (date, duration, topic, participants) and make them available to SP Architects on request (Art. 17).</w:t>
      </w:r>
      <w:r>
        <w:t xml:space="preserve"> </w:t>
      </w:r>
      <w:r>
        <w:t xml:space="preserve">7. When assigning tasks I will take account of each worker's fitness for work (health, training, competence certificates) and keep untrained people out of hazardous areas.</w:t>
      </w:r>
      <w:r>
        <w:t xml:space="preserve"> </w:t>
      </w:r>
      <w:r>
        <w:t xml:space="preserve">8. Where rules are not followed I will stop the unsafe work, re-brief the worker and, if needed, apply a fair and proportionate process.</w:t>
      </w:r>
      <w:r>
        <w:t xml:space="preserve"> </w:t>
      </w:r>
      <w:r>
        <w:t xml:space="preserve">9. I will cooperate with SP Architects' OHS specialist and occupational physician and take part in site inspections and coordination meetings.</w:t>
      </w:r>
      <w:r>
        <w:t xml:space="preserve"> </w:t>
      </w:r>
      <w:r>
        <w:t xml:space="preserve">10. I will comply, and make sure my team complies, with Policy 8 — Supplier and Sub-consultant Code of Conduct (human rights, working conditions, no discrimination or harassment, anti-bribery and environmental protection).</w:t>
      </w:r>
    </w:p>
    <w:p>
      <w:pPr>
        <w:pStyle w:val="BodyText"/>
      </w:pPr>
      <w:r>
        <w:t xml:space="preserve">I have read and understood these commitments and will apply them within my area of responsibility.</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pPr>
          </w:p>
        </w:tc>
        <w:tc>
          <w:tcPr/>
          <w:p>
            <w:pPr>
              <w:pStyle w:val="Compact"/>
              <w:jc w:val="left"/>
            </w:pPr>
            <w:r>
              <w:rPr>
                <w:b/>
              </w:rPr>
              <w:t xml:space="preserve">Manager / Employer's Representative</w:t>
            </w:r>
          </w:p>
        </w:tc>
        <w:tc>
          <w:tcPr/>
          <w:p>
            <w:pPr>
              <w:pStyle w:val="Compact"/>
              <w:jc w:val="left"/>
            </w:pPr>
            <w:r>
              <w:rPr>
                <w:b/>
              </w:rPr>
              <w:t xml:space="preserve">For SP Architects (Project Manager / OHS Specialist)</w:t>
            </w:r>
          </w:p>
        </w:tc>
      </w:tr>
      <w:tr>
        <w:tc>
          <w:tcPr/>
          <w:p>
            <w:pPr>
              <w:pStyle w:val="Compact"/>
              <w:jc w:val="left"/>
            </w:pPr>
            <w:r>
              <w:t xml:space="preserve">Full name</w:t>
            </w:r>
          </w:p>
        </w:tc>
        <w:tc>
          <w:tcPr/>
          <w:p>
            <w:pPr>
              <w:pStyle w:val="Compact"/>
            </w:pPr>
          </w:p>
        </w:tc>
        <w:tc>
          <w:tcPr/>
          <w:p>
            <w:pPr>
              <w:pStyle w:val="Compact"/>
            </w:pPr>
          </w:p>
        </w:tc>
      </w:tr>
      <w:tr>
        <w:tc>
          <w:tcPr/>
          <w:p>
            <w:pPr>
              <w:pStyle w:val="Compact"/>
              <w:jc w:val="left"/>
            </w:pPr>
            <w:r>
              <w:t xml:space="preserve">Role</w:t>
            </w:r>
          </w:p>
        </w:tc>
        <w:tc>
          <w:tcPr/>
          <w:p>
            <w:pPr>
              <w:pStyle w:val="Compact"/>
            </w:pPr>
          </w:p>
        </w:tc>
        <w:tc>
          <w:tcPr/>
          <w:p>
            <w:pPr>
              <w:pStyle w:val="Compact"/>
            </w:pPr>
          </w:p>
        </w:tc>
      </w:tr>
      <w:tr>
        <w:tc>
          <w:tcPr/>
          <w:p>
            <w:pPr>
              <w:pStyle w:val="Compact"/>
              <w:jc w:val="left"/>
            </w:pPr>
            <w:r>
              <w:t xml:space="preserve">Date</w:t>
            </w:r>
          </w:p>
        </w:tc>
        <w:tc>
          <w:tcPr/>
          <w:p>
            <w:pPr>
              <w:pStyle w:val="Compact"/>
            </w:pPr>
          </w:p>
        </w:tc>
        <w:tc>
          <w:tcPr/>
          <w:p>
            <w:pPr>
              <w:pStyle w:val="Compact"/>
            </w:pPr>
          </w:p>
        </w:tc>
      </w:tr>
      <w:tr>
        <w:tc>
          <w:tcPr/>
          <w:p>
            <w:pPr>
              <w:pStyle w:val="Compact"/>
              <w:jc w:val="left"/>
            </w:pPr>
            <w:r>
              <w:t xml:space="preserve">Signature</w:t>
            </w:r>
          </w:p>
        </w:tc>
        <w:tc>
          <w:tcPr/>
          <w:p>
            <w:pPr>
              <w:pStyle w:val="Compact"/>
            </w:pPr>
          </w:p>
        </w:tc>
        <w:tc>
          <w:tcPr/>
          <w:p>
            <w:pPr>
              <w:pStyle w:val="Compact"/>
            </w:pPr>
          </w:p>
        </w:tc>
      </w:tr>
    </w:tbl>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Manager and Employer's Representative OHS Undertaking</dc:title>
  <dc:creator/>
  <cp:keywords/>
  <dcterms:created xsi:type="dcterms:W3CDTF">2026-10-14T16:17:17Z</dcterms:created>
  <dcterms:modified xsi:type="dcterms:W3CDTF">2026-10-14T16:17:17Z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Draft 1.0 · October 2026</vt:lpwstr>
  </property>
</Properties>
</file>