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Yönetici</w:t>
      </w:r>
      <w:r>
        <w:t xml:space="preserve"> </w:t>
      </w:r>
      <w:r>
        <w:t xml:space="preserve">ve</w:t>
      </w:r>
      <w:r>
        <w:t xml:space="preserve"> </w:t>
      </w:r>
      <w:r>
        <w:t xml:space="preserve">İşveren</w:t>
      </w:r>
      <w:r>
        <w:t xml:space="preserve"> </w:t>
      </w:r>
      <w:r>
        <w:t xml:space="preserve">Vekili</w:t>
      </w:r>
      <w:r>
        <w:t xml:space="preserve"> </w:t>
      </w:r>
      <w:r>
        <w:t xml:space="preserve">İSG</w:t>
      </w:r>
      <w:r>
        <w:t xml:space="preserve"> </w:t>
      </w:r>
      <w:r>
        <w:t xml:space="preserve">Taahhütnamesi</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Dok. No</w:t>
            </w:r>
          </w:p>
        </w:tc>
        <w:tc>
          <w:tcPr/>
          <w:p>
            <w:pPr>
              <w:pStyle w:val="Compact"/>
              <w:jc w:val="left"/>
            </w:pPr>
            <w:r>
              <w:rPr>
                <w:b/>
              </w:rPr>
              <w:t xml:space="preserve">Yay. Tarihi</w:t>
            </w:r>
          </w:p>
        </w:tc>
        <w:tc>
          <w:tcPr/>
          <w:p>
            <w:pPr>
              <w:pStyle w:val="Compact"/>
              <w:jc w:val="left"/>
            </w:pPr>
            <w:r>
              <w:rPr>
                <w:b/>
              </w:rPr>
              <w:t xml:space="preserve">Rev. No</w:t>
            </w:r>
          </w:p>
        </w:tc>
      </w:tr>
      <w:tr>
        <w:tc>
          <w:tcPr/>
          <w:p>
            <w:pPr>
              <w:pStyle w:val="Compact"/>
              <w:jc w:val="left"/>
            </w:pPr>
            <w:r>
              <w:t xml:space="preserve">05112</w:t>
            </w:r>
          </w:p>
        </w:tc>
        <w:tc>
          <w:tcPr/>
          <w:p>
            <w:pPr>
              <w:pStyle w:val="Compact"/>
              <w:jc w:val="left"/>
            </w:pPr>
            <w:r>
              <w:t xml:space="preserve">[gg.aa.yyyy]</w:t>
            </w:r>
          </w:p>
        </w:tc>
        <w:tc>
          <w:tcPr/>
          <w:p>
            <w:pPr>
              <w:pStyle w:val="Compact"/>
              <w:jc w:val="left"/>
            </w:pPr>
            <w:r>
              <w:t xml:space="preserve">[02]</w:t>
            </w:r>
          </w:p>
        </w:tc>
      </w:tr>
    </w:tbl>
    <w:bookmarkStart w:id="20" w:name="amaç"/>
    <w:p>
      <w:pPr>
        <w:pStyle w:val="Heading3"/>
      </w:pPr>
      <w:r>
        <w:t xml:space="preserve">Amaç</w:t>
      </w:r>
    </w:p>
    <w:p>
      <w:pPr>
        <w:pStyle w:val="FirstParagraph"/>
      </w:pPr>
      <w:r>
        <w:t xml:space="preserve">REM Mimarlık Dekorasyon Restorasyon Proje ve Taahhüt Hizmetleri Ltd. Şti. ("SP Architects"), yürüttüğü projelerde iş sağlığı ve güvenliğini yönetim düzeyinde bir sorumluluk olarak görür ve bu anlayışı tedarik zincirine taşır. Bu taahhütname, alt yüklenici yöneticilerinin ve işveren vekillerinin İSG yükümlülüklerini açıklar. Güvenli ve sağlıklı çalışma ortamı bir ILO temel hakkıdır (ILO 155 ve 187 Sayılı Sözleşmeler) ve UN Global Compact İlke 1–6 taahhüdümüzün parçasıdır. Belge, Politika 7 — İş Sağlığı, Güvenliği ve Esenlik ile Politika 8 — Tedarikçi ve Alt Yüklenici Davranış Kuralları'nın uygulamasıdır.</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Firma</w:t>
            </w:r>
          </w:p>
        </w:tc>
        <w:tc>
          <w:tcPr/>
          <w:p>
            <w:pPr>
              <w:pStyle w:val="Compact"/>
            </w:pPr>
          </w:p>
        </w:tc>
      </w:tr>
      <w:tr>
        <w:tc>
          <w:tcPr/>
          <w:p>
            <w:pPr>
              <w:pStyle w:val="Compact"/>
              <w:jc w:val="left"/>
            </w:pPr>
            <w:r>
              <w:t xml:space="preserve">Proje / Şantiye</w:t>
            </w:r>
          </w:p>
        </w:tc>
        <w:tc>
          <w:tcPr/>
          <w:p>
            <w:pPr>
              <w:pStyle w:val="Compact"/>
              <w:jc w:val="left"/>
            </w:pPr>
            <w:r>
              <w:t xml:space="preserve">[Proje adı]</w:t>
            </w:r>
          </w:p>
        </w:tc>
      </w:tr>
      <w:tr>
        <w:tc>
          <w:tcPr/>
          <w:p>
            <w:pPr>
              <w:pStyle w:val="Compact"/>
              <w:jc w:val="left"/>
            </w:pPr>
            <w:r>
              <w:t xml:space="preserve">Yapılan iş</w:t>
            </w:r>
          </w:p>
        </w:tc>
        <w:tc>
          <w:tcPr/>
          <w:p>
            <w:pPr>
              <w:pStyle w:val="Compact"/>
            </w:pPr>
          </w:p>
        </w:tc>
      </w:tr>
      <w:tr>
        <w:tc>
          <w:tcPr/>
          <w:p>
            <w:pPr>
              <w:pStyle w:val="Compact"/>
              <w:jc w:val="left"/>
            </w:pPr>
            <w:r>
              <w:t xml:space="preserve">Adı Soyadı</w:t>
            </w:r>
          </w:p>
        </w:tc>
        <w:tc>
          <w:tcPr/>
          <w:p>
            <w:pPr>
              <w:pStyle w:val="Compact"/>
            </w:pPr>
          </w:p>
        </w:tc>
      </w:tr>
      <w:tr>
        <w:tc>
          <w:tcPr/>
          <w:p>
            <w:pPr>
              <w:pStyle w:val="Compact"/>
              <w:jc w:val="left"/>
            </w:pPr>
            <w:r>
              <w:t xml:space="preserve">Görevi</w:t>
            </w:r>
          </w:p>
        </w:tc>
        <w:tc>
          <w:tcPr/>
          <w:p>
            <w:pPr>
              <w:pStyle w:val="Compact"/>
            </w:pPr>
          </w:p>
        </w:tc>
      </w:tr>
      <w:tr>
        <w:tc>
          <w:tcPr/>
          <w:p>
            <w:pPr>
              <w:pStyle w:val="Compact"/>
              <w:jc w:val="left"/>
            </w:pPr>
            <w:r>
              <w:t xml:space="preserve">İşveren vekilliği kapsamı (sorumlu olunan ekip / alan)</w:t>
            </w:r>
          </w:p>
        </w:tc>
        <w:tc>
          <w:tcPr/>
          <w:p>
            <w:pPr>
              <w:pStyle w:val="Compact"/>
            </w:pPr>
          </w:p>
        </w:tc>
      </w:tr>
    </w:tbl>
    <w:bookmarkEnd w:id="20"/>
    <w:bookmarkStart w:id="21" w:name="yasal-çerçeve-özet"/>
    <w:p>
      <w:pPr>
        <w:pStyle w:val="Heading3"/>
      </w:pPr>
      <w:r>
        <w:t xml:space="preserve">Yasal çerçeve (özet)</w:t>
      </w:r>
    </w:p>
    <w:p>
      <w:pPr>
        <w:numPr>
          <w:ilvl w:val="0"/>
          <w:numId w:val="1001"/>
        </w:numPr>
        <w:pStyle w:val="Compact"/>
      </w:pPr>
      <w:r>
        <w:rPr>
          <w:bCs/>
          <w:b/>
        </w:rPr>
        <w:t xml:space="preserve">Kapsam (6331 Md. 2):</w:t>
      </w:r>
      <w:r>
        <w:t xml:space="preserve"> </w:t>
      </w:r>
      <w:r>
        <w:t xml:space="preserve">6331 sayılı İş Sağlığı ve Güvenliği Kanunu, kamu ve özel sektördeki tüm işlere ve işyerlerine, bunların işverenleri, işveren vekilleri ve tüm çalışanlarına uygulanır.</w:t>
      </w:r>
    </w:p>
    <w:p>
      <w:pPr>
        <w:numPr>
          <w:ilvl w:val="0"/>
          <w:numId w:val="1001"/>
        </w:numPr>
        <w:pStyle w:val="Compact"/>
      </w:pPr>
      <w:r>
        <w:rPr>
          <w:bCs/>
          <w:b/>
        </w:rPr>
        <w:t xml:space="preserve">İşveren vekili (6331 Md. 3):</w:t>
      </w:r>
      <w:r>
        <w:t xml:space="preserve"> </w:t>
      </w:r>
      <w:r>
        <w:t xml:space="preserve">İşveren adına hareket eden ve işin ve işyerinin yönetiminde görev alan kişiler işveren vekilidir; Kanunun uygulanmasında işveren sayılır (Md. 3, fıkra 2).</w:t>
      </w:r>
    </w:p>
    <w:p>
      <w:pPr>
        <w:numPr>
          <w:ilvl w:val="0"/>
          <w:numId w:val="1001"/>
        </w:numPr>
        <w:pStyle w:val="Compact"/>
      </w:pPr>
      <w:r>
        <w:rPr>
          <w:bCs/>
          <w:b/>
        </w:rPr>
        <w:t xml:space="preserve">İşverenin genel yükümlülüğü (6331 Md. 4):</w:t>
      </w:r>
      <w:r>
        <w:t xml:space="preserve"> </w:t>
      </w:r>
      <w:r>
        <w:t xml:space="preserve">İşveren çalışanların sağlık ve güvenliğini sağlar: riskleri önler, eğitim ve bilgi verir, gerekli araç ve gereçleri sağlar, önlemlere uyulmasını denetler, risk değerlendirmesi yapar veya yaptırır, görev verirken çalışanın işe uygunluğunu gözetir ve yetkisiz kişilerin tehlikeli alanlara girmesini önler. Dışarıdan hizmet alınması ve çalışanların yükümlülükleri işverenin sorumluluğunu ortadan kaldırmaz; İSG önlemlerinin maliyeti çalışanlara yansıtılamaz.</w:t>
      </w:r>
    </w:p>
    <w:p>
      <w:pPr>
        <w:numPr>
          <w:ilvl w:val="0"/>
          <w:numId w:val="1001"/>
        </w:numPr>
        <w:pStyle w:val="Compact"/>
      </w:pPr>
      <w:r>
        <w:rPr>
          <w:bCs/>
          <w:b/>
        </w:rPr>
        <w:t xml:space="preserve">Eğitim (6331 Md. 17):</w:t>
      </w:r>
      <w:r>
        <w:t xml:space="preserve"> </w:t>
      </w:r>
      <w:r>
        <w:t xml:space="preserve">İşveren, çalışanların İSG eğitimlerini almasını sağlar.</w:t>
      </w:r>
    </w:p>
    <w:bookmarkEnd w:id="21"/>
    <w:bookmarkStart w:id="22" w:name="sorumlulukların-paylaşımı"/>
    <w:p>
      <w:pPr>
        <w:pStyle w:val="Heading3"/>
      </w:pPr>
      <w:r>
        <w:t xml:space="preserve">Sorumlulukların paylaşımı</w:t>
      </w:r>
    </w:p>
    <w:p>
      <w:pPr>
        <w:pStyle w:val="FirstParagraph"/>
      </w:pPr>
      <w:r>
        <w:t xml:space="preserve">Bu taahhütname, imzalayan kişinin görev alanındaki yönetim sorumluluğunu tanımlar. Taahhütnameyi imzalamak; SP Architects'in asıl işveren olarak ve alt yüklenicinin kendi çalışanlarının işvereni olarak 6331 sayılı Kanundan doğan yükümlülüklerini ortadan kaldırmaz veya imzalayana devretmez (Md. 4(2) ve (3)). SP Architects, alt yüklenici yöneticileriyle risk bilgisi paylaşır, koordinasyon toplantıları yapar ve sahadaki uygulamayı izler.</w:t>
      </w:r>
    </w:p>
    <w:bookmarkEnd w:id="22"/>
    <w:bookmarkStart w:id="23" w:name="taahhütlerim"/>
    <w:p>
      <w:pPr>
        <w:pStyle w:val="Heading3"/>
      </w:pPr>
      <w:r>
        <w:t xml:space="preserve">Taahhütlerim</w:t>
      </w:r>
    </w:p>
    <w:p>
      <w:pPr>
        <w:pStyle w:val="FirstParagraph"/>
      </w:pPr>
      <w:r>
        <w:t xml:space="preserve">Görev alanımdaki işlerle ilgili olarak:</w:t>
      </w:r>
      <w:r>
        <w:t xml:space="preserve"> </w:t>
      </w:r>
      <w:r>
        <w:t xml:space="preserve">1. Her iş başlamadan önce risk değerlendirmesinin yapılmasını veya güncellenmesini, çalışanların bu değerlendirmeye katılmasını ve sonuçların imzalı olarak SP Architects'e iletilmesini sağlayacağım (6331 Md. 10 ve 18).</w:t>
      </w:r>
      <w:r>
        <w:t xml:space="preserve"> </w:t>
      </w:r>
      <w:r>
        <w:t xml:space="preserve">2. Risk değerlendirmesine göre gereken tüm KKD'yi (baret, emniyet kemeri, iş ayakkabısı, iş elbisesi ve diğerleri) ücretsiz temin edeceğim, kullanılmasını sağlayacağım ve yeterliliğini düzenli olarak kontrol edeceğim. Yüksekte çalışmalarda emniyet kemerini kendim kullanacağım ve çalışanların kullanmasını sağlayacağım.</w:t>
      </w:r>
      <w:r>
        <w:t xml:space="preserve"> </w:t>
      </w:r>
      <w:r>
        <w:t xml:space="preserve">3. Kendi tespitim veya bir çalışanın bildirimi üzerine tehlikeli bir durum gördüğümde işi durduracak ve gerekli önlem alınmadan yeniden başlatmayacağım.</w:t>
      </w:r>
      <w:r>
        <w:t xml:space="preserve"> </w:t>
      </w:r>
      <w:r>
        <w:t xml:space="preserve">4. Çalışanların ciddi ve yakın tehlikede çalışmaktan kaçınma hakkına (6331 Md. 13) saygı göstereceğim; bu hakkı kullanan veya bildirimde bulunan kimseye misilleme yapılmasına izin vermeyeceğim.</w:t>
      </w:r>
      <w:r>
        <w:t xml:space="preserve"> </w:t>
      </w:r>
      <w:r>
        <w:t xml:space="preserve">5. İş kazalarını, meslek hastalıklarını ve ramak kala olaylar dahil tüm uygunsuzlukları derhal İSG uzmanına ve SP Architects'e bildireceğim veya ekibimin bildirmesini sağlayacağım. Bildirimleri suçlama için değil, kök neden analizi ve iyileştirme için kullanacağım. İş kazalarının işveren tarafından SGK'ya en geç 3 iş günü içinde bildirilmesi için gereken bilgileri gecikmeden vereceğim (6331 Md. 14).</w:t>
      </w:r>
      <w:r>
        <w:t xml:space="preserve"> </w:t>
      </w:r>
      <w:r>
        <w:t xml:space="preserve">6. Ekibimdeki herkesin işe başlamadan önce İSG eğitimi almasını sağlayacak, eğitim kayıtlarını (tarih, süre, konu, katılımcı) tutacak ve istendiğinde SP Architects'e sunacağım (6331 Md. 17).</w:t>
      </w:r>
      <w:r>
        <w:t xml:space="preserve"> </w:t>
      </w:r>
      <w:r>
        <w:t xml:space="preserve">7. Görev verirken çalışanların işe uygunluğunu (sağlık, eğitim, yetkinlik belgesi) gözeteceğim; eğitimsiz kişilerin tehlikeli alanlara girmesini önleyeceğim.</w:t>
      </w:r>
      <w:r>
        <w:t xml:space="preserve"> </w:t>
      </w:r>
      <w:r>
        <w:t xml:space="preserve">8. Kurallara uyulmadığında güvensiz işi durduracak, çalışanı yeniden bilgilendirecek ve gerekiyorsa adil ve orantılı bir süreç işleteceğim.</w:t>
      </w:r>
      <w:r>
        <w:t xml:space="preserve"> </w:t>
      </w:r>
      <w:r>
        <w:t xml:space="preserve">9. SP Architects'in İSG uzmanı ve işyeri hekimi ile işbirliği yapacak, saha denetimlerine ve koordinasyon toplantılarına katılacağım.</w:t>
      </w:r>
      <w:r>
        <w:t xml:space="preserve"> </w:t>
      </w:r>
      <w:r>
        <w:t xml:space="preserve">10. Politika 8 — Tedarikçi ve Alt Yüklenici Davranış Kuralları'na (insan hakları, çalışma koşulları, ayrımcılık ve taciz yasağı, rüşvetle mücadele, çevre) uyacağım ve ekibimin uymasını sağlayacağım.</w:t>
      </w:r>
    </w:p>
    <w:p>
      <w:pPr>
        <w:pStyle w:val="BodyText"/>
      </w:pPr>
      <w:r>
        <w:t xml:space="preserve">Bu taahhütleri okudum, anladım ve görev alanımda uygulayacağımı beyan ederim.</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Yönetici / İşveren Vekili</w:t>
            </w:r>
          </w:p>
        </w:tc>
        <w:tc>
          <w:tcPr/>
          <w:p>
            <w:pPr>
              <w:pStyle w:val="Compact"/>
              <w:jc w:val="left"/>
            </w:pPr>
            <w:r>
              <w:rPr>
                <w:b/>
              </w:rPr>
              <w:t xml:space="preserve">SP Architects adına (Proje Yöneticisi / İSG Uzmanı)</w:t>
            </w:r>
          </w:p>
        </w:tc>
      </w:tr>
      <w:tr>
        <w:tc>
          <w:tcPr/>
          <w:p>
            <w:pPr>
              <w:pStyle w:val="Compact"/>
              <w:jc w:val="left"/>
            </w:pPr>
            <w:r>
              <w:t xml:space="preserve">Adı Soyadı</w:t>
            </w:r>
          </w:p>
        </w:tc>
        <w:tc>
          <w:tcPr/>
          <w:p>
            <w:pPr>
              <w:pStyle w:val="Compact"/>
            </w:pPr>
          </w:p>
        </w:tc>
        <w:tc>
          <w:tcPr/>
          <w:p>
            <w:pPr>
              <w:pStyle w:val="Compact"/>
            </w:pPr>
          </w:p>
        </w:tc>
      </w:tr>
      <w:tr>
        <w:tc>
          <w:tcPr/>
          <w:p>
            <w:pPr>
              <w:pStyle w:val="Compact"/>
              <w:jc w:val="left"/>
            </w:pPr>
            <w:r>
              <w:t xml:space="preserve">Görevi</w:t>
            </w:r>
          </w:p>
        </w:tc>
        <w:tc>
          <w:tcPr/>
          <w:p>
            <w:pPr>
              <w:pStyle w:val="Compact"/>
            </w:pPr>
          </w:p>
        </w:tc>
        <w:tc>
          <w:tcPr/>
          <w:p>
            <w:pPr>
              <w:pStyle w:val="Compact"/>
            </w:pPr>
          </w:p>
        </w:tc>
      </w:tr>
      <w:tr>
        <w:tc>
          <w:tcPr/>
          <w:p>
            <w:pPr>
              <w:pStyle w:val="Compact"/>
              <w:jc w:val="left"/>
            </w:pPr>
            <w:r>
              <w:t xml:space="preserve">Tarih</w:t>
            </w:r>
          </w:p>
        </w:tc>
        <w:tc>
          <w:tcPr/>
          <w:p>
            <w:pPr>
              <w:pStyle w:val="Compact"/>
            </w:pPr>
          </w:p>
        </w:tc>
        <w:tc>
          <w:tcPr/>
          <w:p>
            <w:pPr>
              <w:pStyle w:val="Compact"/>
            </w:pPr>
          </w:p>
        </w:tc>
      </w:tr>
      <w:tr>
        <w:tc>
          <w:tcPr/>
          <w:p>
            <w:pPr>
              <w:pStyle w:val="Compact"/>
              <w:jc w:val="left"/>
            </w:pPr>
            <w:r>
              <w:t xml:space="preserve">İmza</w:t>
            </w:r>
          </w:p>
        </w:tc>
        <w:tc>
          <w:tcPr/>
          <w:p>
            <w:pPr>
              <w:pStyle w:val="Compact"/>
            </w:pPr>
          </w:p>
        </w:tc>
        <w:tc>
          <w:tcPr/>
          <w:p>
            <w:pPr>
              <w:pStyle w:val="Compact"/>
            </w:pPr>
          </w:p>
        </w:tc>
      </w:tr>
    </w:tbl>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Yönetici ve İşveren Vekili İSG Taahhütnamesi</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