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and</w:t>
      </w:r>
      <w:r>
        <w:t xml:space="preserve"> </w:t>
      </w:r>
      <w:r>
        <w:t xml:space="preserve">Data</w:t>
      </w:r>
      <w:r>
        <w:t xml:space="preserve"> </w:t>
      </w:r>
      <w:r>
        <w:t xml:space="preserve">Policy</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
    <w:p>
      <w:pPr>
        <w:pStyle w:val="Heading3"/>
      </w:pPr>
      <w:r>
        <w:t xml:space="preserve">Purpose</w:t>
      </w:r>
    </w:p>
    <w:p>
      <w:pPr>
        <w:pStyle w:val="FirstParagraph"/>
      </w:pPr>
      <w:r>
        <w:t xml:space="preserve">REM Mimarlık Dekorasyon Restorasyon Proje ve Taahhüt Hizmetleri Ltd. Şti. ("SP Architects" or the "Company") is committed to processing, storing and protecting your personal data in accordance with the Personal Data Protection Law No. 6698 (Kişisel Verilerin Korunması Kanunu, "KVKK") and related legislation. As a participant in the UN Global Compact, we regard the right to privacy set out in Article 12 of the Universal Declaration of Human Rights as a fundamental human right, and we apply this policy under Principle 1 and Policy 10 — Data Protection and Information Security.</w:t>
      </w:r>
    </w:p>
    <w:bookmarkEnd w:id="20"/>
    <w:bookmarkStart w:id="21" w:name="our-principles"/>
    <w:p>
      <w:pPr>
        <w:pStyle w:val="Heading3"/>
      </w:pPr>
      <w:r>
        <w:t xml:space="preserve">Our principles</w:t>
      </w:r>
    </w:p>
    <w:p>
      <w:pPr>
        <w:pStyle w:val="FirstParagraph"/>
      </w:pPr>
      <w:r>
        <w:t xml:space="preserve">As data controller, SP Architects is responsible for ensuring that personal data is obtained, processed, stored and secured lawfully. To protect the fundamental rights and freedoms of our employees, business partners, clients and their representatives, above all their privacy, we process personal data:</w:t>
      </w:r>
    </w:p>
    <w:p>
      <w:pPr>
        <w:numPr>
          <w:ilvl w:val="0"/>
          <w:numId w:val="1001"/>
        </w:numPr>
        <w:pStyle w:val="Compact"/>
      </w:pPr>
      <w:r>
        <w:t xml:space="preserve">lawfully and fairly;</w:t>
      </w:r>
    </w:p>
    <w:p>
      <w:pPr>
        <w:numPr>
          <w:ilvl w:val="0"/>
          <w:numId w:val="1001"/>
        </w:numPr>
        <w:pStyle w:val="Compact"/>
      </w:pPr>
      <w:r>
        <w:t xml:space="preserve">accurately and, where necessary, kept up to date;</w:t>
      </w:r>
    </w:p>
    <w:p>
      <w:pPr>
        <w:numPr>
          <w:ilvl w:val="0"/>
          <w:numId w:val="1001"/>
        </w:numPr>
        <w:pStyle w:val="Compact"/>
      </w:pPr>
      <w:r>
        <w:t xml:space="preserve">for specified, explicit and legitimate purposes;</w:t>
      </w:r>
    </w:p>
    <w:p>
      <w:pPr>
        <w:numPr>
          <w:ilvl w:val="0"/>
          <w:numId w:val="1001"/>
        </w:numPr>
        <w:pStyle w:val="Compact"/>
      </w:pPr>
      <w:r>
        <w:t xml:space="preserve">in a way that is relevant, limited and proportionate to those purposes;</w:t>
      </w:r>
    </w:p>
    <w:p>
      <w:pPr>
        <w:numPr>
          <w:ilvl w:val="0"/>
          <w:numId w:val="1001"/>
        </w:numPr>
        <w:pStyle w:val="Compact"/>
      </w:pPr>
      <w:r>
        <w:t xml:space="preserve">and retain it only for the period required by law or needed for the purpose.</w:t>
      </w:r>
    </w:p>
    <w:p>
      <w:pPr>
        <w:pStyle w:val="FirstParagraph"/>
      </w:pPr>
      <w:r>
        <w:t xml:space="preserve">We transfer personal data to third parties in Türkiye and/or abroad only with appropriate security measures in place.</w:t>
      </w:r>
    </w:p>
    <w:p>
      <w:pPr>
        <w:pStyle w:val="BodyText"/>
      </w:pPr>
      <w:r>
        <w:t xml:space="preserve">Our policy also includes making sure our employees and business partners adopt these principles, and building and raising awareness of data protection.</w:t>
      </w:r>
    </w:p>
    <w:bookmarkEnd w:id="21"/>
    <w:bookmarkStart w:id="22" w:name="our-legal-obligations"/>
    <w:p>
      <w:pPr>
        <w:pStyle w:val="Heading3"/>
      </w:pPr>
      <w:r>
        <w:t xml:space="preserve">Our legal obligations</w:t>
      </w:r>
    </w:p>
    <w:p>
      <w:pPr>
        <w:pStyle w:val="FirstParagraph"/>
      </w:pPr>
      <w:r>
        <w:t xml:space="preserve">Accordingly, we:</w:t>
      </w:r>
    </w:p>
    <w:p>
      <w:pPr>
        <w:numPr>
          <w:ilvl w:val="0"/>
          <w:numId w:val="1002"/>
        </w:numPr>
        <w:pStyle w:val="Compact"/>
      </w:pPr>
      <w:r>
        <w:t xml:space="preserve">have registered with VERBİS (the Data Controllers' Registry Information System);</w:t>
      </w:r>
    </w:p>
    <w:p>
      <w:pPr>
        <w:numPr>
          <w:ilvl w:val="0"/>
          <w:numId w:val="1002"/>
        </w:numPr>
        <w:pStyle w:val="Compact"/>
      </w:pPr>
      <w:r>
        <w:t xml:space="preserve">inform data subjects, orally and/or in writing, when we collect their personal data;</w:t>
      </w:r>
    </w:p>
    <w:p>
      <w:pPr>
        <w:numPr>
          <w:ilvl w:val="0"/>
          <w:numId w:val="1002"/>
        </w:numPr>
        <w:pStyle w:val="Compact"/>
      </w:pPr>
      <w:r>
        <w:t xml:space="preserve">take the technical, software and administrative measures needed to prevent unlawful processing of, and unlawful access to, personal data;</w:t>
      </w:r>
    </w:p>
    <w:p>
      <w:pPr>
        <w:numPr>
          <w:ilvl w:val="0"/>
          <w:numId w:val="1002"/>
        </w:numPr>
        <w:pStyle w:val="Compact"/>
      </w:pPr>
      <w:r>
        <w:t xml:space="preserve">have identified current risks and threats and adopted policies on access, information security, use, retention and destruction.</w:t>
      </w:r>
    </w:p>
    <w:bookmarkEnd w:id="22"/>
    <w:bookmarkStart w:id="26" w:name="security-measures"/>
    <w:p>
      <w:pPr>
        <w:pStyle w:val="Heading3"/>
      </w:pPr>
      <w:r>
        <w:t xml:space="preserve">Security measures</w:t>
      </w:r>
    </w:p>
    <w:bookmarkStart w:id="23" w:name="technical-measures"/>
    <w:p>
      <w:pPr>
        <w:pStyle w:val="Heading4"/>
      </w:pPr>
      <w:r>
        <w:t xml:space="preserve">Technical measures</w:t>
      </w:r>
    </w:p>
    <w:p>
      <w:pPr>
        <w:numPr>
          <w:ilvl w:val="0"/>
          <w:numId w:val="1003"/>
        </w:numPr>
        <w:pStyle w:val="Compact"/>
      </w:pPr>
      <w:r>
        <w:t xml:space="preserve">A closed network is used for network and application security, and key management is applied.</w:t>
      </w:r>
    </w:p>
    <w:p>
      <w:pPr>
        <w:numPr>
          <w:ilvl w:val="0"/>
          <w:numId w:val="1003"/>
        </w:numPr>
        <w:pStyle w:val="Compact"/>
      </w:pPr>
      <w:r>
        <w:t xml:space="preserve">Security measures are built into the procurement, development and maintenance of IT systems.</w:t>
      </w:r>
    </w:p>
    <w:p>
      <w:pPr>
        <w:numPr>
          <w:ilvl w:val="0"/>
          <w:numId w:val="1003"/>
        </w:numPr>
        <w:pStyle w:val="Compact"/>
      </w:pPr>
      <w:r>
        <w:t xml:space="preserve">Personal data stored in the cloud is kept secure.</w:t>
      </w:r>
    </w:p>
    <w:p>
      <w:pPr>
        <w:numPr>
          <w:ilvl w:val="0"/>
          <w:numId w:val="1003"/>
        </w:numPr>
        <w:pStyle w:val="Compact"/>
      </w:pPr>
      <w:r>
        <w:t xml:space="preserve">Access rights are defined according to each user's role and responsibilities, unauthorised access is restricted, and user accounts and permissions are actively managed.</w:t>
      </w:r>
    </w:p>
    <w:p>
      <w:pPr>
        <w:numPr>
          <w:ilvl w:val="0"/>
          <w:numId w:val="1003"/>
        </w:numPr>
        <w:pStyle w:val="Compact"/>
      </w:pPr>
      <w:r>
        <w:t xml:space="preserve">Access logs are kept regularly and cannot be altered by users.</w:t>
      </w:r>
    </w:p>
    <w:p>
      <w:pPr>
        <w:numPr>
          <w:ilvl w:val="0"/>
          <w:numId w:val="1003"/>
        </w:numPr>
        <w:pStyle w:val="Compact"/>
      </w:pPr>
      <w:r>
        <w:t xml:space="preserve">Data masking is applied where needed.</w:t>
      </w:r>
    </w:p>
    <w:p>
      <w:pPr>
        <w:numPr>
          <w:ilvl w:val="0"/>
          <w:numId w:val="1003"/>
        </w:numPr>
        <w:pStyle w:val="Compact"/>
      </w:pPr>
      <w:r>
        <w:t xml:space="preserve">Up-to-date anti-virus software and firewalls are in use.</w:t>
      </w:r>
    </w:p>
    <w:p>
      <w:pPr>
        <w:numPr>
          <w:ilvl w:val="0"/>
          <w:numId w:val="1003"/>
        </w:numPr>
        <w:pStyle w:val="Compact"/>
      </w:pPr>
      <w:r>
        <w:t xml:space="preserve">An intrusion detection and prevention system protects against cyber attacks, and penetration tests are carried out.</w:t>
      </w:r>
    </w:p>
    <w:p>
      <w:pPr>
        <w:numPr>
          <w:ilvl w:val="0"/>
          <w:numId w:val="1003"/>
        </w:numPr>
        <w:pStyle w:val="Compact"/>
      </w:pPr>
      <w:r>
        <w:t xml:space="preserve">Data loss prevention software is used, and backed-up personal data is protected in the same way.</w:t>
      </w:r>
    </w:p>
    <w:p>
      <w:pPr>
        <w:numPr>
          <w:ilvl w:val="0"/>
          <w:numId w:val="1003"/>
        </w:numPr>
        <w:pStyle w:val="Compact"/>
      </w:pPr>
      <w:r>
        <w:t xml:space="preserve">Special categories of personal data are transferred using secured file-transfer applications; where e-mail is necessary, registered electronic mail (KEP) or a corporate e-mail account is used.</w:t>
      </w:r>
    </w:p>
    <w:bookmarkEnd w:id="23"/>
    <w:bookmarkStart w:id="24" w:name="organisational-measures"/>
    <w:p>
      <w:pPr>
        <w:pStyle w:val="Heading4"/>
      </w:pPr>
      <w:r>
        <w:t xml:space="preserve">Organisational measures</w:t>
      </w:r>
    </w:p>
    <w:p>
      <w:pPr>
        <w:numPr>
          <w:ilvl w:val="0"/>
          <w:numId w:val="1004"/>
        </w:numPr>
        <w:pStyle w:val="Compact"/>
      </w:pPr>
      <w:r>
        <w:t xml:space="preserve">Use of removable media such as USB drives, CDs and DVDs is restricted; file-copying rights are granted only to people approved by management, for a defined and limited period, and are withdrawn automatically when that period ends.</w:t>
      </w:r>
    </w:p>
    <w:p>
      <w:pPr>
        <w:numPr>
          <w:ilvl w:val="0"/>
          <w:numId w:val="1004"/>
        </w:numPr>
        <w:pStyle w:val="Compact"/>
      </w:pPr>
      <w:r>
        <w:t xml:space="preserve">Employees and business partners sign confidentiality undertakings that include data security provisions.</w:t>
      </w:r>
    </w:p>
    <w:p>
      <w:pPr>
        <w:numPr>
          <w:ilvl w:val="0"/>
          <w:numId w:val="1004"/>
        </w:numPr>
        <w:pStyle w:val="Compact"/>
      </w:pPr>
      <w:r>
        <w:t xml:space="preserve">The personal data we collect and process is kept to a minimum.</w:t>
      </w:r>
    </w:p>
    <w:p>
      <w:pPr>
        <w:numPr>
          <w:ilvl w:val="0"/>
          <w:numId w:val="1004"/>
        </w:numPr>
        <w:pStyle w:val="Compact"/>
      </w:pPr>
      <w:r>
        <w:t xml:space="preserve">These measures are monitored periodically and kept up to date.</w:t>
      </w:r>
    </w:p>
    <w:p>
      <w:pPr>
        <w:numPr>
          <w:ilvl w:val="0"/>
          <w:numId w:val="1004"/>
        </w:numPr>
        <w:pStyle w:val="Compact"/>
      </w:pPr>
      <w:r>
        <w:t xml:space="preserve">Where a periodic review or a data subject's request shows that the reason for processing no longer exists or the retention period has expired, the data is erased, destroyed or anonymised using a method suited to its category and nature.</w:t>
      </w:r>
    </w:p>
    <w:bookmarkEnd w:id="24"/>
    <w:bookmarkStart w:id="25" w:name="physical-measures"/>
    <w:p>
      <w:pPr>
        <w:pStyle w:val="Heading4"/>
      </w:pPr>
      <w:r>
        <w:t xml:space="preserve">Physical measures</w:t>
      </w:r>
    </w:p>
    <w:p>
      <w:pPr>
        <w:numPr>
          <w:ilvl w:val="0"/>
          <w:numId w:val="1005"/>
        </w:numPr>
        <w:pStyle w:val="Compact"/>
      </w:pPr>
      <w:r>
        <w:t xml:space="preserve">Physical locations holding personal data are protected against external risks.</w:t>
      </w:r>
    </w:p>
    <w:bookmarkEnd w:id="25"/>
    <w:bookmarkEnd w:id="26"/>
    <w:bookmarkStart w:id="27" w:name="website-and-other-information"/>
    <w:p>
      <w:pPr>
        <w:pStyle w:val="Heading3"/>
      </w:pPr>
      <w:r>
        <w:t xml:space="preserve">Website and other information</w:t>
      </w:r>
    </w:p>
    <w:p>
      <w:pPr>
        <w:pStyle w:val="FirstParagraph"/>
      </w:pPr>
      <w:r>
        <w:t xml:space="preserve">Our website may link to sites we consider reliable in order to give users better information. The Company is not responsible for the content or the data and privacy policies of those sites.</w:t>
      </w:r>
    </w:p>
    <w:p>
      <w:pPr>
        <w:pStyle w:val="BodyText"/>
      </w:pPr>
      <w:r>
        <w:t xml:space="preserve">This policy is provided for information. If we receive a request for co-operation or information from a judicial or administrative authority, we may share the requested personal data with the competent authority as required by law.</w:t>
      </w:r>
    </w:p>
    <w:p>
      <w:pPr>
        <w:pStyle w:val="BodyText"/>
      </w:pPr>
      <w:r>
        <w:t xml:space="preserve">Information that is anonymous and not sufficient to identify you is non-personal information and is stored automatically on our servers.</w:t>
      </w:r>
    </w:p>
    <w:bookmarkEnd w:id="27"/>
    <w:bookmarkStart w:id="28" w:name="your-rights-under-article-11-kvkk"/>
    <w:p>
      <w:pPr>
        <w:pStyle w:val="Heading3"/>
      </w:pPr>
      <w:r>
        <w:t xml:space="preserve">Your rights under Article 11 KVKK</w:t>
      </w:r>
    </w:p>
    <w:p>
      <w:pPr>
        <w:pStyle w:val="FirstParagraph"/>
      </w:pPr>
      <w:r>
        <w:t xml:space="preserve">As a data subject (the "Applicant"), you have the right to:</w:t>
      </w:r>
    </w:p>
    <w:p>
      <w:pPr>
        <w:numPr>
          <w:ilvl w:val="0"/>
          <w:numId w:val="1006"/>
        </w:numPr>
        <w:pStyle w:val="Compact"/>
      </w:pPr>
      <w:r>
        <w:t xml:space="preserve">learn whether your personal data is processed;</w:t>
      </w:r>
    </w:p>
    <w:p>
      <w:pPr>
        <w:numPr>
          <w:ilvl w:val="0"/>
          <w:numId w:val="1006"/>
        </w:numPr>
        <w:pStyle w:val="Compact"/>
      </w:pPr>
      <w:r>
        <w:t xml:space="preserve">request information about the processing if it is;</w:t>
      </w:r>
    </w:p>
    <w:p>
      <w:pPr>
        <w:numPr>
          <w:ilvl w:val="0"/>
          <w:numId w:val="1006"/>
        </w:numPr>
        <w:pStyle w:val="Compact"/>
      </w:pPr>
      <w:r>
        <w:t xml:space="preserve">learn the purpose of processing and whether the data is used accordingly;</w:t>
      </w:r>
    </w:p>
    <w:p>
      <w:pPr>
        <w:numPr>
          <w:ilvl w:val="0"/>
          <w:numId w:val="1006"/>
        </w:numPr>
        <w:pStyle w:val="Compact"/>
      </w:pPr>
      <w:r>
        <w:t xml:space="preserve">know the third parties in Türkiye or abroad to whom your data is transferred;</w:t>
      </w:r>
    </w:p>
    <w:p>
      <w:pPr>
        <w:numPr>
          <w:ilvl w:val="0"/>
          <w:numId w:val="1006"/>
        </w:numPr>
        <w:pStyle w:val="Compact"/>
      </w:pPr>
      <w:r>
        <w:t xml:space="preserve">request correction of incomplete or inaccurate data, and notification of the correction to those third parties;</w:t>
      </w:r>
    </w:p>
    <w:p>
      <w:pPr>
        <w:numPr>
          <w:ilvl w:val="0"/>
          <w:numId w:val="1006"/>
        </w:numPr>
        <w:pStyle w:val="Compact"/>
      </w:pPr>
      <w:r>
        <w:t xml:space="preserve">request erasure or destruction of your data where the reasons for processing no longer exist, even if it was processed lawfully, and notification of this to those third parties;</w:t>
      </w:r>
    </w:p>
    <w:p>
      <w:pPr>
        <w:numPr>
          <w:ilvl w:val="0"/>
          <w:numId w:val="1006"/>
        </w:numPr>
        <w:pStyle w:val="Compact"/>
      </w:pPr>
      <w:r>
        <w:t xml:space="preserve">object to an outcome against you that results solely from automated analysis of your data;</w:t>
      </w:r>
    </w:p>
    <w:p>
      <w:pPr>
        <w:numPr>
          <w:ilvl w:val="0"/>
          <w:numId w:val="1006"/>
        </w:numPr>
        <w:pStyle w:val="Compact"/>
      </w:pPr>
      <w:r>
        <w:t xml:space="preserve">claim compensation for damage caused by unlawful processing.</w:t>
      </w:r>
    </w:p>
    <w:bookmarkEnd w:id="28"/>
    <w:bookmarkStart w:id="29" w:name="how-to-apply"/>
    <w:p>
      <w:pPr>
        <w:pStyle w:val="Heading3"/>
      </w:pPr>
      <w:r>
        <w:t xml:space="preserve">How to apply</w:t>
      </w:r>
    </w:p>
    <w:p>
      <w:pPr>
        <w:pStyle w:val="FirstParagraph"/>
      </w:pPr>
      <w:r>
        <w:t xml:space="preserve">Under Article 13(1) KVKK you may submit requests to the Company, as data controller, in writing or by any other method set by the Personal Data Protection Board (the "Board"). For a written application, print and complete the Data Subject Application Form at www.spdo.com.tr, sign it by hand, and (i) deliver it in person or (ii) send it through a notary to Ayazağa Mah. Azerbaycan Cad. Vadistanbul 2B Ofis, No:3K Kat:6 34485 Sarıyer/İstanbul, or (iii) sign it with a secure electronic signature and e-mail it to kvkk@spdo.com.tr. If the Board later sets a new method, its conditions will be announced separately.</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Method</w:t>
            </w:r>
          </w:p>
        </w:tc>
        <w:tc>
          <w:tcPr/>
          <w:p>
            <w:pPr>
              <w:pStyle w:val="Compact"/>
              <w:jc w:val="left"/>
            </w:pPr>
            <w:r>
              <w:rPr>
                <w:b/>
              </w:rPr>
              <w:t xml:space="preserve">How it works</w:t>
            </w:r>
          </w:p>
        </w:tc>
        <w:tc>
          <w:tcPr/>
          <w:p>
            <w:pPr>
              <w:pStyle w:val="Compact"/>
              <w:jc w:val="left"/>
            </w:pPr>
            <w:r>
              <w:rPr>
                <w:b/>
              </w:rPr>
              <w:t xml:space="preserve">Where to send it</w:t>
            </w:r>
          </w:p>
        </w:tc>
        <w:tc>
          <w:tcPr/>
          <w:p>
            <w:pPr>
              <w:pStyle w:val="Compact"/>
              <w:jc w:val="left"/>
            </w:pPr>
            <w:r>
              <w:rPr>
                <w:b/>
              </w:rPr>
              <w:t xml:space="preserve">What to write</w:t>
            </w:r>
          </w:p>
        </w:tc>
      </w:tr>
      <w:tr>
        <w:tc>
          <w:tcPr/>
          <w:p>
            <w:pPr>
              <w:pStyle w:val="Compact"/>
              <w:jc w:val="left"/>
            </w:pPr>
            <w:r>
              <w:t xml:space="preserve">In person</w:t>
            </w:r>
          </w:p>
        </w:tc>
        <w:tc>
          <w:tcPr/>
          <w:p>
            <w:pPr>
              <w:pStyle w:val="Compact"/>
              <w:jc w:val="left"/>
            </w:pPr>
            <w:r>
              <w:t xml:space="preserve">The Applicant attends in person with proof of identity.</w:t>
            </w:r>
          </w:p>
        </w:tc>
        <w:tc>
          <w:tcPr/>
          <w:p>
            <w:pPr>
              <w:pStyle w:val="Compact"/>
              <w:jc w:val="left"/>
            </w:pPr>
            <w:r>
              <w:t xml:space="preserve">REM Mimarlık Dekorasyon Restorasyon Proje Ve Taahhüt Hizmetleri Ltd. Şti., Ayazağa Mah. Azerbaycan Cad. Vadistanbul 2B Ofis, No:3K Kat:6 34485 Sarıyer/İstanbul</w:t>
            </w:r>
          </w:p>
        </w:tc>
        <w:tc>
          <w:tcPr/>
          <w:p>
            <w:pPr>
              <w:pStyle w:val="Compact"/>
              <w:jc w:val="left"/>
            </w:pPr>
            <w:r>
              <w:t xml:space="preserve">Please mark the envelope "Kişisel Verilerin Korunması Kanunu kapsamında bilgi talebi" (information request under the KVKK).</w:t>
            </w:r>
          </w:p>
        </w:tc>
      </w:tr>
      <w:tr>
        <w:tc>
          <w:tcPr/>
          <w:p>
            <w:pPr>
              <w:pStyle w:val="Compact"/>
              <w:jc w:val="left"/>
            </w:pPr>
            <w:r>
              <w:t xml:space="preserve">Through a notary</w:t>
            </w:r>
          </w:p>
        </w:tc>
        <w:tc>
          <w:tcPr/>
          <w:p>
            <w:pPr>
              <w:pStyle w:val="Compact"/>
              <w:jc w:val="left"/>
            </w:pPr>
            <w:r>
              <w:t xml:space="preserve">The hand-signed form and proof of identity are served on the Company through a notary.</w:t>
            </w:r>
          </w:p>
        </w:tc>
        <w:tc>
          <w:tcPr/>
          <w:p>
            <w:pPr>
              <w:pStyle w:val="Compact"/>
              <w:jc w:val="left"/>
            </w:pPr>
            <w:r>
              <w:t xml:space="preserve">REM Mimarlık Dekorasyon Restorasyon Proje Ve Taahhüt Hizmetleri Ltd. Şti., Ayazağa Mah. Azerbaycan Cad. Vadistanbul 2B Ofis, No:3K Kat:6 34485 Sarıyer/İstanbul</w:t>
            </w:r>
          </w:p>
        </w:tc>
        <w:tc>
          <w:tcPr/>
          <w:p>
            <w:pPr>
              <w:pStyle w:val="Compact"/>
              <w:jc w:val="left"/>
            </w:pPr>
            <w:r>
              <w:t xml:space="preserve">Please mark the notice "Kişisel Verilerin Korunması Kanunu kapsamında bilgi talebi".</w:t>
            </w:r>
          </w:p>
        </w:tc>
      </w:tr>
      <w:tr>
        <w:tc>
          <w:tcPr/>
          <w:p>
            <w:pPr>
              <w:pStyle w:val="Compact"/>
              <w:jc w:val="left"/>
            </w:pPr>
            <w:r>
              <w:t xml:space="preserve">Secure e-signature and e-mail</w:t>
            </w:r>
          </w:p>
        </w:tc>
        <w:tc>
          <w:tcPr/>
          <w:p>
            <w:pPr>
              <w:pStyle w:val="Compact"/>
              <w:jc w:val="left"/>
            </w:pPr>
            <w:r>
              <w:t xml:space="preserve">The form is signed with a secure electronic signature and e-mailed.</w:t>
            </w:r>
          </w:p>
        </w:tc>
        <w:tc>
          <w:tcPr/>
          <w:p>
            <w:pPr>
              <w:pStyle w:val="Compact"/>
              <w:jc w:val="left"/>
            </w:pPr>
            <w:r>
              <w:t xml:space="preserve">REM Mimarlık Dekorasyon Restorasyon Proje Ve Taahhüt Hizmetleri Ltd. Şti., kvkk@spdo.com.tr</w:t>
            </w:r>
          </w:p>
        </w:tc>
        <w:tc>
          <w:tcPr/>
          <w:p>
            <w:pPr>
              <w:pStyle w:val="Compact"/>
              <w:jc w:val="left"/>
            </w:pPr>
            <w:r>
              <w:t xml:space="preserve">Please use the subject line "Kişisel Verilerin Korunması Kanunu kapsamında bilgi talebi".</w:t>
            </w:r>
          </w:p>
        </w:tc>
      </w:tr>
    </w:tbl>
    <w:bookmarkEnd w:id="29"/>
    <w:bookmarkStart w:id="30" w:name="response-time-and-fees"/>
    <w:p>
      <w:pPr>
        <w:pStyle w:val="Heading3"/>
      </w:pPr>
      <w:r>
        <w:t xml:space="preserve">Response time and fees</w:t>
      </w:r>
    </w:p>
    <w:p>
      <w:pPr>
        <w:pStyle w:val="FirstParagraph"/>
      </w:pPr>
      <w:r>
        <w:t xml:space="preserve">Under Article 13 KVKK, your application will be concluded as soon as possible and in any event within 30 (thirty) days of its receipt, and you will be informed of the outcome. Applications are free of charge as a rule; however, if the request involves an additional cost, the Company reserves the right to charge the fee set in the Board's tariff.</w:t>
      </w:r>
    </w:p>
    <w:p>
      <w:pPr>
        <w:pStyle w:val="BodyText"/>
      </w:pPr>
      <w:r>
        <w:t xml:space="preserve">This English version is provided for convenience; in case of any discrepancy, the Turkish version prevails.</w:t>
      </w:r>
    </w:p>
    <w:p>
      <w:pPr>
        <w:pStyle w:val="BodyText"/>
      </w:pPr>
      <w:r>
        <w:t xml:space="preserve">Yours faithfully,</w:t>
      </w:r>
      <w:r>
        <w:t xml:space="preserve"> </w:t>
      </w:r>
      <w:r>
        <w:t xml:space="preserve">REM MİMARLIK DEKORASYON RESTORASYON PROJE VE TAAHHÜT HİZMETLERİ LTD. ŞTİ.</w:t>
      </w:r>
    </w:p>
    <w:p>
      <w:pPr>
        <w:pStyle w:val="BodyText"/>
      </w:pPr>
      <w:r>
        <w:t xml:space="preserve">Effective date: [dd.mm.yyyy] · Approved by: Sabri Paşayiğit, Founding Partner / General Manager</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and Data Policy</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